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ED" w:rsidRPr="006D41EC" w:rsidRDefault="003911ED" w:rsidP="003911ED">
      <w:pPr>
        <w:autoSpaceDE w:val="0"/>
        <w:autoSpaceDN w:val="0"/>
        <w:adjustRightInd w:val="0"/>
        <w:spacing w:after="60"/>
        <w:outlineLvl w:val="0"/>
        <w:rPr>
          <w:sz w:val="20"/>
          <w:szCs w:val="20"/>
        </w:rPr>
      </w:pPr>
      <w:r w:rsidRPr="006D41EC">
        <w:rPr>
          <w:iCs/>
          <w:sz w:val="20"/>
          <w:szCs w:val="20"/>
        </w:rPr>
        <w:t>УДК 547:619:616.3-084:636.4</w:t>
      </w:r>
    </w:p>
    <w:p w:rsidR="003911ED" w:rsidRDefault="003911ED" w:rsidP="003911ED">
      <w:pPr>
        <w:jc w:val="center"/>
        <w:rPr>
          <w:b/>
          <w:sz w:val="20"/>
          <w:szCs w:val="20"/>
        </w:rPr>
      </w:pPr>
      <w:r w:rsidRPr="006D41EC">
        <w:rPr>
          <w:b/>
          <w:sz w:val="20"/>
          <w:szCs w:val="20"/>
        </w:rPr>
        <w:t>ВОЗДЕЙСТВИЕ РАЗЛИЧНЫХ ФОРМ СОЕДИНЕНИЙ СЕЛЕНА НА МЕТАБОЛИЧ</w:t>
      </w:r>
      <w:r w:rsidRPr="006D41EC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СКИЙ ПРОФИЛЬ ТЕЛЯТ</w:t>
      </w:r>
    </w:p>
    <w:p w:rsidR="003911ED" w:rsidRPr="00401376" w:rsidRDefault="003911ED" w:rsidP="003911ED">
      <w:pPr>
        <w:autoSpaceDE w:val="0"/>
        <w:autoSpaceDN w:val="0"/>
        <w:adjustRightInd w:val="0"/>
        <w:spacing w:before="60" w:after="60"/>
        <w:jc w:val="both"/>
        <w:rPr>
          <w:sz w:val="20"/>
          <w:szCs w:val="20"/>
          <w:vertAlign w:val="superscript"/>
        </w:rPr>
      </w:pPr>
      <w:r w:rsidRPr="006D41EC">
        <w:rPr>
          <w:b/>
          <w:sz w:val="20"/>
          <w:szCs w:val="20"/>
        </w:rPr>
        <w:t>Д.Б. Волошин</w:t>
      </w:r>
      <w:proofErr w:type="gramStart"/>
      <w:r>
        <w:rPr>
          <w:b/>
          <w:sz w:val="20"/>
          <w:szCs w:val="20"/>
          <w:vertAlign w:val="superscript"/>
        </w:rPr>
        <w:t>1</w:t>
      </w:r>
      <w:proofErr w:type="gramEnd"/>
      <w:r w:rsidRPr="006D41EC">
        <w:rPr>
          <w:b/>
          <w:sz w:val="20"/>
          <w:szCs w:val="20"/>
        </w:rPr>
        <w:t xml:space="preserve">, Л.Б. </w:t>
      </w:r>
      <w:r w:rsidRPr="006D41EC">
        <w:rPr>
          <w:b/>
          <w:iCs/>
          <w:sz w:val="20"/>
          <w:szCs w:val="20"/>
          <w:vertAlign w:val="superscript"/>
        </w:rPr>
        <w:t xml:space="preserve"> </w:t>
      </w:r>
      <w:r w:rsidRPr="006D41EC">
        <w:rPr>
          <w:b/>
          <w:sz w:val="20"/>
          <w:szCs w:val="20"/>
        </w:rPr>
        <w:t>Заводник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</w:t>
      </w:r>
      <w:r w:rsidRPr="006D41EC">
        <w:rPr>
          <w:b/>
          <w:sz w:val="20"/>
          <w:szCs w:val="20"/>
        </w:rPr>
        <w:t xml:space="preserve"> В.В</w:t>
      </w:r>
      <w:r>
        <w:rPr>
          <w:b/>
          <w:sz w:val="20"/>
          <w:szCs w:val="20"/>
        </w:rPr>
        <w:t>.</w:t>
      </w:r>
      <w:r w:rsidRPr="006D41EC">
        <w:rPr>
          <w:b/>
          <w:sz w:val="20"/>
          <w:szCs w:val="20"/>
        </w:rPr>
        <w:t xml:space="preserve"> Дюрдь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>,</w:t>
      </w:r>
      <w:r w:rsidRPr="00401376">
        <w:rPr>
          <w:b/>
          <w:sz w:val="20"/>
          <w:szCs w:val="20"/>
        </w:rPr>
        <w:t xml:space="preserve"> </w:t>
      </w:r>
      <w:r w:rsidRPr="006D41EC">
        <w:rPr>
          <w:b/>
          <w:sz w:val="20"/>
          <w:szCs w:val="20"/>
        </w:rPr>
        <w:t>А.И</w:t>
      </w:r>
      <w:r>
        <w:rPr>
          <w:b/>
          <w:sz w:val="20"/>
          <w:szCs w:val="20"/>
        </w:rPr>
        <w:t>.</w:t>
      </w:r>
      <w:r w:rsidRPr="006D41EC">
        <w:rPr>
          <w:b/>
          <w:sz w:val="20"/>
          <w:szCs w:val="20"/>
        </w:rPr>
        <w:t xml:space="preserve"> О</w:t>
      </w:r>
      <w:r w:rsidRPr="006D41EC">
        <w:rPr>
          <w:b/>
          <w:iCs/>
          <w:sz w:val="20"/>
          <w:szCs w:val="20"/>
        </w:rPr>
        <w:t>стапчук</w:t>
      </w:r>
      <w:r>
        <w:rPr>
          <w:b/>
          <w:iCs/>
          <w:sz w:val="20"/>
          <w:szCs w:val="20"/>
          <w:vertAlign w:val="superscript"/>
        </w:rPr>
        <w:t>3</w:t>
      </w:r>
      <w:r w:rsidRPr="006D41EC">
        <w:rPr>
          <w:iCs/>
          <w:sz w:val="20"/>
          <w:szCs w:val="20"/>
        </w:rPr>
        <w:t xml:space="preserve">, </w:t>
      </w:r>
      <w:r w:rsidRPr="006D41EC">
        <w:rPr>
          <w:b/>
          <w:iCs/>
          <w:sz w:val="20"/>
          <w:szCs w:val="20"/>
        </w:rPr>
        <w:t>Г.И.</w:t>
      </w:r>
      <w:r w:rsidRPr="006D41EC">
        <w:rPr>
          <w:iCs/>
          <w:sz w:val="20"/>
          <w:szCs w:val="20"/>
        </w:rPr>
        <w:t xml:space="preserve"> </w:t>
      </w:r>
      <w:r w:rsidRPr="006D41EC">
        <w:rPr>
          <w:b/>
          <w:sz w:val="20"/>
          <w:szCs w:val="20"/>
        </w:rPr>
        <w:t>Б</w:t>
      </w:r>
      <w:r w:rsidRPr="006D41EC">
        <w:rPr>
          <w:b/>
          <w:iCs/>
          <w:sz w:val="20"/>
          <w:szCs w:val="20"/>
        </w:rPr>
        <w:t>о</w:t>
      </w:r>
      <w:r w:rsidRPr="006D41EC">
        <w:rPr>
          <w:b/>
          <w:iCs/>
          <w:sz w:val="20"/>
          <w:szCs w:val="20"/>
        </w:rPr>
        <w:t>ряев</w:t>
      </w:r>
      <w:r>
        <w:rPr>
          <w:b/>
          <w:iCs/>
          <w:sz w:val="20"/>
          <w:szCs w:val="20"/>
          <w:vertAlign w:val="superscript"/>
        </w:rPr>
        <w:t>3</w:t>
      </w:r>
      <w:r>
        <w:rPr>
          <w:b/>
          <w:iCs/>
          <w:sz w:val="20"/>
          <w:szCs w:val="20"/>
        </w:rPr>
        <w:t>,</w:t>
      </w:r>
      <w:r w:rsidRPr="00401376">
        <w:rPr>
          <w:b/>
          <w:iCs/>
          <w:sz w:val="20"/>
          <w:szCs w:val="20"/>
        </w:rPr>
        <w:t xml:space="preserve"> </w:t>
      </w:r>
      <w:r w:rsidRPr="006D41EC">
        <w:rPr>
          <w:b/>
          <w:iCs/>
          <w:sz w:val="20"/>
          <w:szCs w:val="20"/>
        </w:rPr>
        <w:t>Б. Палеч</w:t>
      </w:r>
      <w:r>
        <w:rPr>
          <w:b/>
          <w:iCs/>
          <w:sz w:val="20"/>
          <w:szCs w:val="20"/>
          <w:vertAlign w:val="superscript"/>
        </w:rPr>
        <w:t>4</w:t>
      </w:r>
    </w:p>
    <w:p w:rsidR="003911ED" w:rsidRDefault="003911ED" w:rsidP="003911ED">
      <w:pPr>
        <w:rPr>
          <w:sz w:val="20"/>
          <w:szCs w:val="20"/>
        </w:rPr>
      </w:pPr>
      <w:r w:rsidRPr="000D01B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– </w:t>
      </w:r>
      <w:r w:rsidRPr="006D41EC">
        <w:rPr>
          <w:sz w:val="20"/>
          <w:szCs w:val="20"/>
        </w:rPr>
        <w:t xml:space="preserve">УО «Гродненский государственный аграрный университет», </w:t>
      </w:r>
    </w:p>
    <w:p w:rsidR="003911ED" w:rsidRDefault="003911ED" w:rsidP="003911ED">
      <w:pPr>
        <w:rPr>
          <w:sz w:val="20"/>
          <w:szCs w:val="20"/>
        </w:rPr>
      </w:pPr>
      <w:r>
        <w:rPr>
          <w:sz w:val="20"/>
          <w:szCs w:val="20"/>
        </w:rPr>
        <w:t>г. Гро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но;</w:t>
      </w:r>
    </w:p>
    <w:p w:rsidR="003911ED" w:rsidRPr="00401376" w:rsidRDefault="003911ED" w:rsidP="003911E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– </w:t>
      </w:r>
      <w:r w:rsidRPr="006D41EC">
        <w:rPr>
          <w:sz w:val="20"/>
          <w:szCs w:val="20"/>
        </w:rPr>
        <w:t>ОАО «Александрийское», Шкловский район, Могилевская область</w:t>
      </w:r>
      <w:r>
        <w:rPr>
          <w:sz w:val="20"/>
          <w:szCs w:val="20"/>
        </w:rPr>
        <w:t>;</w:t>
      </w:r>
    </w:p>
    <w:p w:rsidR="003911ED" w:rsidRPr="006D41EC" w:rsidRDefault="003911ED" w:rsidP="003911ED">
      <w:pPr>
        <w:pStyle w:val="HTML"/>
        <w:jc w:val="both"/>
        <w:rPr>
          <w:rFonts w:ascii="Times New Roman" w:hAnsi="Times New Roman" w:cs="Times New Roman"/>
        </w:rPr>
      </w:pPr>
      <w:r w:rsidRPr="000D01B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</w:t>
      </w:r>
      <w:r w:rsidRPr="006D41EC">
        <w:rPr>
          <w:rFonts w:ascii="Times New Roman" w:hAnsi="Times New Roman" w:cs="Times New Roman"/>
        </w:rPr>
        <w:t>ФГОУ ВПО «Пензенская государственная сельскохозяйственная ак</w:t>
      </w:r>
      <w:r w:rsidRPr="006D41EC">
        <w:rPr>
          <w:rFonts w:ascii="Times New Roman" w:hAnsi="Times New Roman" w:cs="Times New Roman"/>
        </w:rPr>
        <w:t>а</w:t>
      </w:r>
      <w:r w:rsidRPr="006D41EC">
        <w:rPr>
          <w:rFonts w:ascii="Times New Roman" w:hAnsi="Times New Roman" w:cs="Times New Roman"/>
        </w:rPr>
        <w:t xml:space="preserve">демия» </w:t>
      </w:r>
      <w:proofErr w:type="gramStart"/>
      <w:r w:rsidRPr="006D41EC">
        <w:rPr>
          <w:rFonts w:ascii="Times New Roman" w:hAnsi="Times New Roman" w:cs="Times New Roman"/>
        </w:rPr>
        <w:t>г</w:t>
      </w:r>
      <w:proofErr w:type="gramEnd"/>
      <w:r w:rsidRPr="006D41EC">
        <w:rPr>
          <w:rFonts w:ascii="Times New Roman" w:hAnsi="Times New Roman" w:cs="Times New Roman"/>
        </w:rPr>
        <w:t>. Пенза, Россия</w:t>
      </w:r>
      <w:r>
        <w:rPr>
          <w:rFonts w:ascii="Times New Roman" w:hAnsi="Times New Roman" w:cs="Times New Roman"/>
        </w:rPr>
        <w:t>;</w:t>
      </w:r>
    </w:p>
    <w:p w:rsidR="003911ED" w:rsidRPr="006D41EC" w:rsidRDefault="003911ED" w:rsidP="003911ED">
      <w:pPr>
        <w:jc w:val="both"/>
        <w:outlineLvl w:val="0"/>
        <w:rPr>
          <w:iCs/>
          <w:spacing w:val="-6"/>
          <w:sz w:val="20"/>
          <w:szCs w:val="20"/>
        </w:rPr>
      </w:pPr>
      <w:r w:rsidRPr="000D01B1">
        <w:rPr>
          <w:iCs/>
          <w:spacing w:val="-6"/>
          <w:sz w:val="20"/>
          <w:szCs w:val="20"/>
          <w:vertAlign w:val="superscript"/>
        </w:rPr>
        <w:t xml:space="preserve">4 </w:t>
      </w:r>
      <w:r>
        <w:rPr>
          <w:iCs/>
          <w:spacing w:val="-6"/>
          <w:sz w:val="20"/>
          <w:szCs w:val="20"/>
        </w:rPr>
        <w:t xml:space="preserve">– </w:t>
      </w:r>
      <w:r w:rsidRPr="006D41EC">
        <w:rPr>
          <w:iCs/>
          <w:spacing w:val="-6"/>
          <w:sz w:val="20"/>
          <w:szCs w:val="20"/>
        </w:rPr>
        <w:t xml:space="preserve">Институт химии Университета </w:t>
      </w:r>
      <w:proofErr w:type="gramStart"/>
      <w:r w:rsidRPr="006D41EC">
        <w:rPr>
          <w:iCs/>
          <w:spacing w:val="-6"/>
          <w:sz w:val="20"/>
          <w:szCs w:val="20"/>
        </w:rPr>
        <w:t>г</w:t>
      </w:r>
      <w:proofErr w:type="gramEnd"/>
      <w:r w:rsidRPr="006D41EC">
        <w:rPr>
          <w:iCs/>
          <w:spacing w:val="-6"/>
          <w:sz w:val="20"/>
          <w:szCs w:val="20"/>
        </w:rPr>
        <w:t xml:space="preserve">. Лодзь, </w:t>
      </w:r>
      <w:r>
        <w:rPr>
          <w:iCs/>
          <w:spacing w:val="-6"/>
          <w:sz w:val="20"/>
          <w:szCs w:val="20"/>
        </w:rPr>
        <w:t xml:space="preserve">Республика </w:t>
      </w:r>
      <w:r w:rsidRPr="006D41EC">
        <w:rPr>
          <w:iCs/>
          <w:spacing w:val="-6"/>
          <w:sz w:val="20"/>
          <w:szCs w:val="20"/>
        </w:rPr>
        <w:t>Польша</w:t>
      </w:r>
    </w:p>
    <w:p w:rsidR="003911ED" w:rsidRPr="006D41EC" w:rsidRDefault="003911ED" w:rsidP="003911ED">
      <w:pPr>
        <w:ind w:left="283"/>
        <w:jc w:val="center"/>
        <w:rPr>
          <w:sz w:val="20"/>
          <w:szCs w:val="20"/>
        </w:rPr>
      </w:pPr>
    </w:p>
    <w:p w:rsidR="003911ED" w:rsidRDefault="003911ED" w:rsidP="003911ED">
      <w:pPr>
        <w:ind w:left="283"/>
        <w:jc w:val="center"/>
        <w:rPr>
          <w:sz w:val="20"/>
          <w:szCs w:val="20"/>
        </w:rPr>
      </w:pPr>
      <w:r>
        <w:rPr>
          <w:i/>
          <w:sz w:val="16"/>
          <w:szCs w:val="16"/>
        </w:rPr>
        <w:t>(Поступила в редакцию 01.06.2010 г.)</w:t>
      </w:r>
    </w:p>
    <w:p w:rsidR="003911ED" w:rsidRPr="006D41EC" w:rsidRDefault="003911ED" w:rsidP="003911ED">
      <w:pPr>
        <w:ind w:left="283"/>
        <w:jc w:val="center"/>
        <w:rPr>
          <w:sz w:val="20"/>
          <w:szCs w:val="20"/>
        </w:rPr>
      </w:pPr>
    </w:p>
    <w:p w:rsidR="003911ED" w:rsidRPr="000D01B1" w:rsidRDefault="003911ED" w:rsidP="003911ED">
      <w:pPr>
        <w:ind w:firstLine="284"/>
        <w:jc w:val="both"/>
        <w:rPr>
          <w:i/>
          <w:sz w:val="16"/>
          <w:szCs w:val="16"/>
        </w:rPr>
      </w:pPr>
      <w:r w:rsidRPr="000D01B1">
        <w:rPr>
          <w:b/>
          <w:i/>
          <w:sz w:val="16"/>
          <w:szCs w:val="16"/>
        </w:rPr>
        <w:t>Аннотация.</w:t>
      </w:r>
      <w:r>
        <w:rPr>
          <w:i/>
          <w:sz w:val="16"/>
          <w:szCs w:val="16"/>
        </w:rPr>
        <w:t xml:space="preserve"> Сегодня</w:t>
      </w:r>
      <w:r w:rsidRPr="000D01B1">
        <w:rPr>
          <w:i/>
          <w:sz w:val="16"/>
          <w:szCs w:val="16"/>
        </w:rPr>
        <w:t xml:space="preserve"> внимание ветеринарных врачей обращено к проблемам фун</w:t>
      </w:r>
      <w:r w:rsidRPr="000D01B1">
        <w:rPr>
          <w:i/>
          <w:sz w:val="16"/>
          <w:szCs w:val="16"/>
        </w:rPr>
        <w:t>к</w:t>
      </w:r>
      <w:r w:rsidRPr="000D01B1">
        <w:rPr>
          <w:i/>
          <w:sz w:val="16"/>
          <w:szCs w:val="16"/>
        </w:rPr>
        <w:t>ционального кормл</w:t>
      </w:r>
      <w:r>
        <w:rPr>
          <w:i/>
          <w:sz w:val="16"/>
          <w:szCs w:val="16"/>
        </w:rPr>
        <w:t>ения. Одним из важных критериев</w:t>
      </w:r>
      <w:r w:rsidRPr="000D01B1">
        <w:rPr>
          <w:i/>
          <w:sz w:val="16"/>
          <w:szCs w:val="16"/>
        </w:rPr>
        <w:t xml:space="preserve"> полн</w:t>
      </w:r>
      <w:r>
        <w:rPr>
          <w:i/>
          <w:sz w:val="16"/>
          <w:szCs w:val="16"/>
        </w:rPr>
        <w:t>оценности составленного рациона</w:t>
      </w:r>
      <w:r w:rsidRPr="000D01B1">
        <w:rPr>
          <w:i/>
          <w:sz w:val="16"/>
          <w:szCs w:val="16"/>
        </w:rPr>
        <w:t xml:space="preserve"> является содержание в нем селена. Однако различные формы соединений сел</w:t>
      </w:r>
      <w:r w:rsidRPr="000D01B1">
        <w:rPr>
          <w:i/>
          <w:sz w:val="16"/>
          <w:szCs w:val="16"/>
        </w:rPr>
        <w:t>е</w:t>
      </w:r>
      <w:r>
        <w:rPr>
          <w:i/>
          <w:sz w:val="16"/>
          <w:szCs w:val="16"/>
        </w:rPr>
        <w:t>на</w:t>
      </w:r>
      <w:r w:rsidRPr="000D01B1">
        <w:rPr>
          <w:i/>
          <w:sz w:val="16"/>
          <w:szCs w:val="16"/>
        </w:rPr>
        <w:t xml:space="preserve"> по-разному влияют на обмен веществ животных и человека. В данной статье прив</w:t>
      </w:r>
      <w:r w:rsidRPr="000D01B1">
        <w:rPr>
          <w:i/>
          <w:sz w:val="16"/>
          <w:szCs w:val="16"/>
        </w:rPr>
        <w:t>о</w:t>
      </w:r>
      <w:r w:rsidRPr="000D01B1">
        <w:rPr>
          <w:i/>
          <w:sz w:val="16"/>
          <w:szCs w:val="16"/>
        </w:rPr>
        <w:t>дятся результаты исследований воздействия трех различных форм соединений селена на метаболический профиль телят.</w:t>
      </w:r>
      <w:r>
        <w:rPr>
          <w:i/>
          <w:sz w:val="16"/>
          <w:szCs w:val="16"/>
        </w:rPr>
        <w:t xml:space="preserve"> Описано влияние</w:t>
      </w:r>
      <w:r w:rsidRPr="000D01B1">
        <w:rPr>
          <w:i/>
          <w:sz w:val="16"/>
          <w:szCs w:val="16"/>
        </w:rPr>
        <w:t xml:space="preserve"> минерального селена – селенита натрия, органического селена – </w:t>
      </w:r>
      <w:proofErr w:type="spellStart"/>
      <w:r w:rsidRPr="000D01B1">
        <w:rPr>
          <w:i/>
          <w:sz w:val="16"/>
          <w:szCs w:val="16"/>
        </w:rPr>
        <w:t>селенометионина</w:t>
      </w:r>
      <w:proofErr w:type="spellEnd"/>
      <w:r w:rsidRPr="000D01B1">
        <w:rPr>
          <w:i/>
          <w:sz w:val="16"/>
          <w:szCs w:val="16"/>
        </w:rPr>
        <w:t xml:space="preserve"> и </w:t>
      </w:r>
      <w:proofErr w:type="spellStart"/>
      <w:r w:rsidRPr="000D01B1">
        <w:rPr>
          <w:i/>
          <w:sz w:val="16"/>
          <w:szCs w:val="16"/>
        </w:rPr>
        <w:t>хелатного</w:t>
      </w:r>
      <w:proofErr w:type="spellEnd"/>
      <w:r w:rsidRPr="000D01B1">
        <w:rPr>
          <w:i/>
          <w:sz w:val="16"/>
          <w:szCs w:val="16"/>
        </w:rPr>
        <w:t xml:space="preserve"> соединение селена – </w:t>
      </w:r>
      <w:proofErr w:type="spellStart"/>
      <w:r w:rsidRPr="000D01B1">
        <w:rPr>
          <w:i/>
          <w:sz w:val="16"/>
          <w:szCs w:val="16"/>
        </w:rPr>
        <w:t>селенопирана</w:t>
      </w:r>
      <w:proofErr w:type="spellEnd"/>
      <w:r w:rsidRPr="000D01B1">
        <w:rPr>
          <w:i/>
          <w:sz w:val="16"/>
          <w:szCs w:val="16"/>
        </w:rPr>
        <w:t xml:space="preserve"> на биохимические и </w:t>
      </w:r>
      <w:proofErr w:type="spellStart"/>
      <w:r w:rsidRPr="000D01B1">
        <w:rPr>
          <w:i/>
          <w:sz w:val="16"/>
          <w:szCs w:val="16"/>
        </w:rPr>
        <w:t>антиоксидантные</w:t>
      </w:r>
      <w:proofErr w:type="spellEnd"/>
      <w:r w:rsidRPr="000D01B1">
        <w:rPr>
          <w:i/>
          <w:sz w:val="16"/>
          <w:szCs w:val="16"/>
        </w:rPr>
        <w:t xml:space="preserve"> показатели. Рассмотрена возмо</w:t>
      </w:r>
      <w:r w:rsidRPr="000D01B1">
        <w:rPr>
          <w:i/>
          <w:sz w:val="16"/>
          <w:szCs w:val="16"/>
        </w:rPr>
        <w:t>ж</w:t>
      </w:r>
      <w:r w:rsidRPr="000D01B1">
        <w:rPr>
          <w:i/>
          <w:sz w:val="16"/>
          <w:szCs w:val="16"/>
        </w:rPr>
        <w:t>ность коррекции метаболического профиля при участии различных форм соединений селена.</w:t>
      </w:r>
    </w:p>
    <w:p w:rsidR="003911ED" w:rsidRPr="003911ED" w:rsidRDefault="003911ED" w:rsidP="003911ED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0D01B1">
        <w:rPr>
          <w:b/>
          <w:i/>
          <w:sz w:val="16"/>
          <w:szCs w:val="16"/>
          <w:lang w:val="en-US"/>
        </w:rPr>
        <w:t>Summary.</w:t>
      </w:r>
      <w:proofErr w:type="gramEnd"/>
      <w:r w:rsidRPr="000D01B1">
        <w:rPr>
          <w:i/>
          <w:sz w:val="16"/>
          <w:szCs w:val="16"/>
          <w:lang w:val="en-US"/>
        </w:rPr>
        <w:t xml:space="preserve"> Nowadays veterinaries pay more attention to the problems of the functional nourishment. One of the </w:t>
      </w:r>
      <w:proofErr w:type="gramStart"/>
      <w:r w:rsidRPr="000D01B1">
        <w:rPr>
          <w:i/>
          <w:sz w:val="16"/>
          <w:szCs w:val="16"/>
          <w:lang w:val="en-US"/>
        </w:rPr>
        <w:t>criterion</w:t>
      </w:r>
      <w:proofErr w:type="gramEnd"/>
      <w:r w:rsidRPr="000D01B1">
        <w:rPr>
          <w:i/>
          <w:sz w:val="16"/>
          <w:szCs w:val="16"/>
          <w:lang w:val="en-US"/>
        </w:rPr>
        <w:t xml:space="preserve"> of the balanced ration is a selenium. However various forms of the selenium compounds influence human and animal organism differently. Comparison biochemical characteristic of various forms of selenium-containing prepar</w:t>
      </w:r>
      <w:r w:rsidRPr="000D01B1">
        <w:rPr>
          <w:i/>
          <w:sz w:val="16"/>
          <w:szCs w:val="16"/>
          <w:lang w:val="en-US"/>
        </w:rPr>
        <w:t>a</w:t>
      </w:r>
      <w:r w:rsidRPr="000D01B1">
        <w:rPr>
          <w:i/>
          <w:sz w:val="16"/>
          <w:szCs w:val="16"/>
          <w:lang w:val="en-US"/>
        </w:rPr>
        <w:t xml:space="preserve">tions was the aim of our researches. We used three types of the selenium compounds as basis: mineral selenium – </w:t>
      </w:r>
      <w:proofErr w:type="spellStart"/>
      <w:r w:rsidRPr="000D01B1">
        <w:rPr>
          <w:i/>
          <w:sz w:val="16"/>
          <w:szCs w:val="16"/>
          <w:lang w:val="en-US"/>
        </w:rPr>
        <w:t>selenite</w:t>
      </w:r>
      <w:proofErr w:type="spellEnd"/>
      <w:r w:rsidRPr="000D01B1">
        <w:rPr>
          <w:i/>
          <w:sz w:val="16"/>
          <w:szCs w:val="16"/>
          <w:lang w:val="en-US"/>
        </w:rPr>
        <w:t xml:space="preserve"> sodium, organic selenium – </w:t>
      </w:r>
      <w:proofErr w:type="spellStart"/>
      <w:r w:rsidRPr="000D01B1">
        <w:rPr>
          <w:i/>
          <w:sz w:val="16"/>
          <w:szCs w:val="16"/>
          <w:lang w:val="en-US"/>
        </w:rPr>
        <w:t>selenomethionine</w:t>
      </w:r>
      <w:proofErr w:type="spellEnd"/>
      <w:r w:rsidRPr="000D01B1">
        <w:rPr>
          <w:i/>
          <w:sz w:val="16"/>
          <w:szCs w:val="16"/>
          <w:lang w:val="en-US"/>
        </w:rPr>
        <w:t xml:space="preserve">, and chelating selenium compound – </w:t>
      </w:r>
      <w:proofErr w:type="spellStart"/>
      <w:r w:rsidRPr="000D01B1">
        <w:rPr>
          <w:i/>
          <w:sz w:val="16"/>
          <w:szCs w:val="16"/>
          <w:lang w:val="en-US"/>
        </w:rPr>
        <w:t>selenopyran</w:t>
      </w:r>
      <w:proofErr w:type="spellEnd"/>
      <w:r w:rsidRPr="000D01B1">
        <w:rPr>
          <w:i/>
          <w:sz w:val="16"/>
          <w:szCs w:val="16"/>
          <w:lang w:val="en-US"/>
        </w:rPr>
        <w:t xml:space="preserve">. The article describes the influence of these preparations on biochemical, and antioxidant indexes. We have considered problems of the </w:t>
      </w:r>
      <w:proofErr w:type="spellStart"/>
      <w:r w:rsidRPr="000D01B1">
        <w:rPr>
          <w:i/>
          <w:sz w:val="16"/>
          <w:szCs w:val="16"/>
          <w:lang w:val="en-US"/>
        </w:rPr>
        <w:t>d</w:t>
      </w:r>
      <w:r w:rsidRPr="000D01B1">
        <w:rPr>
          <w:i/>
          <w:sz w:val="16"/>
          <w:szCs w:val="16"/>
          <w:lang w:val="en-US"/>
        </w:rPr>
        <w:t>i</w:t>
      </w:r>
      <w:r w:rsidRPr="000D01B1">
        <w:rPr>
          <w:i/>
          <w:sz w:val="16"/>
          <w:szCs w:val="16"/>
          <w:lang w:val="en-US"/>
        </w:rPr>
        <w:t>namic</w:t>
      </w:r>
      <w:proofErr w:type="spellEnd"/>
      <w:r w:rsidRPr="000D01B1">
        <w:rPr>
          <w:i/>
          <w:sz w:val="16"/>
          <w:szCs w:val="16"/>
          <w:lang w:val="en-US"/>
        </w:rPr>
        <w:t xml:space="preserve"> changes of the metabolic profile under the influence of the various sel</w:t>
      </w:r>
      <w:r w:rsidRPr="000D01B1">
        <w:rPr>
          <w:i/>
          <w:sz w:val="16"/>
          <w:szCs w:val="16"/>
          <w:lang w:val="en-US"/>
        </w:rPr>
        <w:t>e</w:t>
      </w:r>
      <w:r w:rsidRPr="000D01B1">
        <w:rPr>
          <w:i/>
          <w:sz w:val="16"/>
          <w:szCs w:val="16"/>
          <w:lang w:val="en-US"/>
        </w:rPr>
        <w:t xml:space="preserve">nium-containing substances. </w:t>
      </w:r>
    </w:p>
    <w:p w:rsidR="003911ED" w:rsidRPr="006D41EC" w:rsidRDefault="003911ED" w:rsidP="003911ED">
      <w:pPr>
        <w:ind w:left="283"/>
        <w:jc w:val="center"/>
        <w:rPr>
          <w:sz w:val="20"/>
          <w:szCs w:val="20"/>
          <w:lang w:val="en-US"/>
        </w:rPr>
      </w:pP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b/>
          <w:sz w:val="20"/>
          <w:szCs w:val="20"/>
        </w:rPr>
        <w:t>Ведение.</w:t>
      </w:r>
      <w:r>
        <w:rPr>
          <w:sz w:val="20"/>
          <w:szCs w:val="20"/>
        </w:rPr>
        <w:t xml:space="preserve"> </w:t>
      </w:r>
      <w:r w:rsidRPr="006D41EC">
        <w:rPr>
          <w:sz w:val="20"/>
          <w:szCs w:val="20"/>
        </w:rPr>
        <w:t xml:space="preserve">В настоящее время пристальное </w:t>
      </w:r>
      <w:r>
        <w:rPr>
          <w:sz w:val="20"/>
          <w:szCs w:val="20"/>
        </w:rPr>
        <w:t>внимание ученых в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шей стране, как </w:t>
      </w:r>
      <w:r w:rsidRPr="006D41EC">
        <w:rPr>
          <w:sz w:val="20"/>
          <w:szCs w:val="20"/>
        </w:rPr>
        <w:t>и в других странах мира, обращено к так называемому функциональному кормлению, то есть возможности поддерживать и улучшать состояние здоровья животн</w:t>
      </w:r>
      <w:r>
        <w:rPr>
          <w:sz w:val="20"/>
          <w:szCs w:val="20"/>
        </w:rPr>
        <w:t>ых при помощи кормовых доб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вок. </w:t>
      </w:r>
      <w:r w:rsidRPr="006D41EC">
        <w:rPr>
          <w:sz w:val="20"/>
          <w:szCs w:val="20"/>
        </w:rPr>
        <w:t>Последние исследова</w:t>
      </w:r>
      <w:r>
        <w:rPr>
          <w:sz w:val="20"/>
          <w:szCs w:val="20"/>
        </w:rPr>
        <w:t xml:space="preserve">ния доказывают, что от качества </w:t>
      </w:r>
      <w:r w:rsidRPr="006D41EC">
        <w:rPr>
          <w:sz w:val="20"/>
          <w:szCs w:val="20"/>
        </w:rPr>
        <w:t>составленного рациона часто зависит возможность возникновения, развития и и</w:t>
      </w:r>
      <w:r w:rsidRPr="006D41EC">
        <w:rPr>
          <w:sz w:val="20"/>
          <w:szCs w:val="20"/>
        </w:rPr>
        <w:t>с</w:t>
      </w:r>
      <w:r w:rsidRPr="006D41EC">
        <w:rPr>
          <w:sz w:val="20"/>
          <w:szCs w:val="20"/>
        </w:rPr>
        <w:t>хода того или иного заболевания.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Патогенетическими причинами многих заболеван</w:t>
      </w:r>
      <w:r>
        <w:rPr>
          <w:sz w:val="20"/>
          <w:szCs w:val="20"/>
        </w:rPr>
        <w:t>ий являются св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бодные радикалы. </w:t>
      </w:r>
      <w:r w:rsidRPr="006D41EC">
        <w:rPr>
          <w:sz w:val="20"/>
          <w:szCs w:val="20"/>
        </w:rPr>
        <w:t>Они являются спутниками большинства обменных процессов организма и увеличивают свою численность при неблаг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>приятных условиях внешней среды. В природе существ</w:t>
      </w:r>
      <w:r>
        <w:rPr>
          <w:sz w:val="20"/>
          <w:szCs w:val="20"/>
        </w:rPr>
        <w:t xml:space="preserve">ует множество различных веществ </w:t>
      </w:r>
      <w:r w:rsidRPr="006D41EC">
        <w:rPr>
          <w:sz w:val="20"/>
          <w:szCs w:val="20"/>
        </w:rPr>
        <w:t>и соединений, обладающих способностью связ</w:t>
      </w:r>
      <w:r w:rsidRPr="006D41EC">
        <w:rPr>
          <w:sz w:val="20"/>
          <w:szCs w:val="20"/>
        </w:rPr>
        <w:t>ы</w:t>
      </w:r>
      <w:r w:rsidRPr="006D41EC">
        <w:rPr>
          <w:sz w:val="20"/>
          <w:szCs w:val="20"/>
        </w:rPr>
        <w:t>вать свободные радикалы. Это антиоксиданты: витамины</w:t>
      </w:r>
      <w:proofErr w:type="gramStart"/>
      <w:r w:rsidRPr="006D41EC">
        <w:rPr>
          <w:sz w:val="20"/>
          <w:szCs w:val="20"/>
        </w:rPr>
        <w:t xml:space="preserve"> Е</w:t>
      </w:r>
      <w:proofErr w:type="gramEnd"/>
      <w:r w:rsidRPr="006D41EC">
        <w:rPr>
          <w:sz w:val="20"/>
          <w:szCs w:val="20"/>
        </w:rPr>
        <w:t xml:space="preserve">, А, С, </w:t>
      </w:r>
      <w:proofErr w:type="spellStart"/>
      <w:r w:rsidRPr="006D41EC">
        <w:rPr>
          <w:sz w:val="20"/>
          <w:szCs w:val="20"/>
        </w:rPr>
        <w:t>флавоноиды</w:t>
      </w:r>
      <w:proofErr w:type="spellEnd"/>
      <w:r w:rsidRPr="006D41EC">
        <w:rPr>
          <w:sz w:val="20"/>
          <w:szCs w:val="20"/>
        </w:rPr>
        <w:t xml:space="preserve"> и микроэлементы, среди которых одним из самых акти</w:t>
      </w:r>
      <w:r w:rsidRPr="006D41EC">
        <w:rPr>
          <w:sz w:val="20"/>
          <w:szCs w:val="20"/>
        </w:rPr>
        <w:t>в</w:t>
      </w:r>
      <w:r w:rsidRPr="006D41EC">
        <w:rPr>
          <w:sz w:val="20"/>
          <w:szCs w:val="20"/>
        </w:rPr>
        <w:t>ных  является селен [1].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Актуальность изучения селена современной наукой и применение его в растениеводстве, животноводс</w:t>
      </w:r>
      <w:r>
        <w:rPr>
          <w:sz w:val="20"/>
          <w:szCs w:val="20"/>
        </w:rPr>
        <w:t xml:space="preserve">тве, медицине и </w:t>
      </w:r>
      <w:r w:rsidRPr="006D41EC">
        <w:rPr>
          <w:sz w:val="20"/>
          <w:szCs w:val="20"/>
        </w:rPr>
        <w:t>повседневной жизни человека обусловлена такими жизненно важными функци</w:t>
      </w:r>
      <w:r w:rsidRPr="006D41EC">
        <w:rPr>
          <w:sz w:val="20"/>
          <w:szCs w:val="20"/>
        </w:rPr>
        <w:t>я</w:t>
      </w:r>
      <w:r w:rsidRPr="006D41EC">
        <w:rPr>
          <w:sz w:val="20"/>
          <w:szCs w:val="20"/>
        </w:rPr>
        <w:t xml:space="preserve">ми этого элемента как: снижение риска многих </w:t>
      </w:r>
      <w:proofErr w:type="spellStart"/>
      <w:proofErr w:type="gramStart"/>
      <w:r w:rsidRPr="006D41EC">
        <w:rPr>
          <w:sz w:val="20"/>
          <w:szCs w:val="20"/>
        </w:rPr>
        <w:t>сердечно</w:t>
      </w:r>
      <w:r>
        <w:rPr>
          <w:sz w:val="20"/>
          <w:szCs w:val="20"/>
        </w:rPr>
        <w:t>-</w:t>
      </w:r>
      <w:r w:rsidRPr="006D41EC">
        <w:rPr>
          <w:sz w:val="20"/>
          <w:szCs w:val="20"/>
        </w:rPr>
        <w:t>сосудистых</w:t>
      </w:r>
      <w:proofErr w:type="spellEnd"/>
      <w:proofErr w:type="gramEnd"/>
      <w:r>
        <w:rPr>
          <w:sz w:val="20"/>
          <w:szCs w:val="20"/>
        </w:rPr>
        <w:t xml:space="preserve"> з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болеваний, защита организма </w:t>
      </w:r>
      <w:r w:rsidRPr="006D41EC">
        <w:rPr>
          <w:sz w:val="20"/>
          <w:szCs w:val="20"/>
        </w:rPr>
        <w:t>от накопления тяжелых металлов, предупреждение и лечение некоторых онкологич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 xml:space="preserve">ских заболеваний, высокая </w:t>
      </w:r>
      <w:proofErr w:type="spellStart"/>
      <w:r w:rsidRPr="006D41EC">
        <w:rPr>
          <w:sz w:val="20"/>
          <w:szCs w:val="20"/>
        </w:rPr>
        <w:t>антиоксидантная</w:t>
      </w:r>
      <w:proofErr w:type="spellEnd"/>
      <w:r w:rsidRPr="006D41EC">
        <w:rPr>
          <w:sz w:val="20"/>
          <w:szCs w:val="20"/>
        </w:rPr>
        <w:t xml:space="preserve"> активность. </w:t>
      </w:r>
      <w:r>
        <w:rPr>
          <w:sz w:val="20"/>
          <w:szCs w:val="20"/>
        </w:rPr>
        <w:t>Отмечена а</w:t>
      </w:r>
      <w:r w:rsidRPr="006D41EC">
        <w:rPr>
          <w:sz w:val="20"/>
          <w:szCs w:val="20"/>
        </w:rPr>
        <w:t>нтигистаминная и антиалле</w:t>
      </w:r>
      <w:r w:rsidRPr="006D41EC">
        <w:rPr>
          <w:sz w:val="20"/>
          <w:szCs w:val="20"/>
        </w:rPr>
        <w:t>р</w:t>
      </w:r>
      <w:r w:rsidRPr="006D41EC">
        <w:rPr>
          <w:sz w:val="20"/>
          <w:szCs w:val="20"/>
        </w:rPr>
        <w:t xml:space="preserve">гическая активность, положительное влияние </w:t>
      </w:r>
      <w:proofErr w:type="spellStart"/>
      <w:r w:rsidRPr="006D41EC">
        <w:rPr>
          <w:sz w:val="20"/>
          <w:szCs w:val="20"/>
        </w:rPr>
        <w:t>селеноэнзимов</w:t>
      </w:r>
      <w:proofErr w:type="spellEnd"/>
      <w:r w:rsidRPr="006D41EC">
        <w:rPr>
          <w:sz w:val="20"/>
          <w:szCs w:val="20"/>
        </w:rPr>
        <w:t xml:space="preserve"> на стимуляцию гормона щитовидной железы - тироксина, </w:t>
      </w:r>
      <w:r>
        <w:rPr>
          <w:sz w:val="20"/>
          <w:szCs w:val="20"/>
        </w:rPr>
        <w:t>улучшение</w:t>
      </w:r>
      <w:r w:rsidRPr="006D41EC">
        <w:rPr>
          <w:sz w:val="20"/>
          <w:szCs w:val="20"/>
        </w:rPr>
        <w:t xml:space="preserve"> иммунн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>го статуса организма.</w:t>
      </w:r>
    </w:p>
    <w:p w:rsidR="003911ED" w:rsidRPr="006D41EC" w:rsidRDefault="003911ED" w:rsidP="003911E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 xml:space="preserve">Со времени открытия первого </w:t>
      </w:r>
      <w:proofErr w:type="spellStart"/>
      <w:r w:rsidRPr="006D41EC">
        <w:rPr>
          <w:sz w:val="20"/>
          <w:szCs w:val="20"/>
        </w:rPr>
        <w:t>селенопротеина</w:t>
      </w:r>
      <w:proofErr w:type="spellEnd"/>
      <w:r w:rsidRPr="006D41EC">
        <w:rPr>
          <w:sz w:val="20"/>
          <w:szCs w:val="20"/>
        </w:rPr>
        <w:t xml:space="preserve">, </w:t>
      </w:r>
      <w:proofErr w:type="spellStart"/>
      <w:r w:rsidRPr="006D41EC">
        <w:rPr>
          <w:sz w:val="20"/>
          <w:szCs w:val="20"/>
        </w:rPr>
        <w:t>глутатионперокс</w:t>
      </w:r>
      <w:r w:rsidRPr="006D41EC">
        <w:rPr>
          <w:sz w:val="20"/>
          <w:szCs w:val="20"/>
        </w:rPr>
        <w:t>и</w:t>
      </w:r>
      <w:r w:rsidRPr="006D41EC">
        <w:rPr>
          <w:sz w:val="20"/>
          <w:szCs w:val="20"/>
        </w:rPr>
        <w:t>дазы</w:t>
      </w:r>
      <w:proofErr w:type="spellEnd"/>
      <w:r w:rsidRPr="006D41EC">
        <w:rPr>
          <w:sz w:val="20"/>
          <w:szCs w:val="20"/>
        </w:rPr>
        <w:t xml:space="preserve">  прошло более 30 лет. И только в 2003 году на основе анализа генома человека было установлено существование и лок</w:t>
      </w:r>
      <w:r w:rsidRPr="006D41EC">
        <w:rPr>
          <w:sz w:val="20"/>
          <w:szCs w:val="20"/>
        </w:rPr>
        <w:t>а</w:t>
      </w:r>
      <w:r w:rsidRPr="006D41EC">
        <w:rPr>
          <w:sz w:val="20"/>
          <w:szCs w:val="20"/>
        </w:rPr>
        <w:t xml:space="preserve">лизация 25 </w:t>
      </w:r>
      <w:proofErr w:type="spellStart"/>
      <w:r w:rsidRPr="006D41EC">
        <w:rPr>
          <w:sz w:val="20"/>
          <w:szCs w:val="20"/>
        </w:rPr>
        <w:t>селеноп</w:t>
      </w:r>
      <w:r>
        <w:rPr>
          <w:sz w:val="20"/>
          <w:szCs w:val="20"/>
        </w:rPr>
        <w:t>ротеинов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Глутатионпероксидаза</w:t>
      </w:r>
      <w:proofErr w:type="spellEnd"/>
      <w:r>
        <w:rPr>
          <w:sz w:val="20"/>
          <w:szCs w:val="20"/>
        </w:rPr>
        <w:t xml:space="preserve"> –</w:t>
      </w:r>
      <w:r w:rsidRPr="006D41EC">
        <w:rPr>
          <w:sz w:val="20"/>
          <w:szCs w:val="20"/>
        </w:rPr>
        <w:t xml:space="preserve"> наиболее </w:t>
      </w:r>
      <w:proofErr w:type="gramStart"/>
      <w:r w:rsidRPr="006D41EC">
        <w:rPr>
          <w:sz w:val="20"/>
          <w:szCs w:val="20"/>
        </w:rPr>
        <w:t>изученный</w:t>
      </w:r>
      <w:proofErr w:type="gramEnd"/>
      <w:r w:rsidRPr="006D41EC">
        <w:rPr>
          <w:sz w:val="20"/>
          <w:szCs w:val="20"/>
        </w:rPr>
        <w:t xml:space="preserve"> </w:t>
      </w:r>
      <w:proofErr w:type="spellStart"/>
      <w:r w:rsidRPr="006D41EC">
        <w:rPr>
          <w:sz w:val="20"/>
          <w:szCs w:val="20"/>
        </w:rPr>
        <w:t>сел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>нопротеин</w:t>
      </w:r>
      <w:proofErr w:type="spellEnd"/>
      <w:r w:rsidRPr="006D41EC">
        <w:rPr>
          <w:sz w:val="20"/>
          <w:szCs w:val="20"/>
        </w:rPr>
        <w:t>, определение ее активности в крови и тканях является важным критерием для</w:t>
      </w:r>
      <w:r>
        <w:rPr>
          <w:sz w:val="20"/>
          <w:szCs w:val="20"/>
        </w:rPr>
        <w:t xml:space="preserve"> </w:t>
      </w:r>
      <w:r w:rsidRPr="006D41EC">
        <w:rPr>
          <w:sz w:val="20"/>
          <w:szCs w:val="20"/>
        </w:rPr>
        <w:t>оценки потребности и обеспеченности селеном челов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>ка и животных [10].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 xml:space="preserve">Большая часть </w:t>
      </w:r>
      <w:proofErr w:type="spellStart"/>
      <w:r w:rsidRPr="006D41EC">
        <w:rPr>
          <w:sz w:val="20"/>
          <w:szCs w:val="20"/>
        </w:rPr>
        <w:t>селенопротеинов</w:t>
      </w:r>
      <w:proofErr w:type="spellEnd"/>
      <w:r w:rsidRPr="006D41EC">
        <w:rPr>
          <w:sz w:val="20"/>
          <w:szCs w:val="20"/>
        </w:rPr>
        <w:t xml:space="preserve"> является внутриклеточными фе</w:t>
      </w:r>
      <w:r w:rsidRPr="006D41EC">
        <w:rPr>
          <w:sz w:val="20"/>
          <w:szCs w:val="20"/>
        </w:rPr>
        <w:t>р</w:t>
      </w:r>
      <w:r w:rsidRPr="006D41EC">
        <w:rPr>
          <w:sz w:val="20"/>
          <w:szCs w:val="20"/>
        </w:rPr>
        <w:t xml:space="preserve">ментами с </w:t>
      </w:r>
      <w:proofErr w:type="spellStart"/>
      <w:r w:rsidRPr="006D41EC">
        <w:rPr>
          <w:sz w:val="20"/>
          <w:szCs w:val="20"/>
        </w:rPr>
        <w:t>антиоксидантными</w:t>
      </w:r>
      <w:proofErr w:type="spellEnd"/>
      <w:r w:rsidRPr="006D41EC">
        <w:rPr>
          <w:sz w:val="20"/>
          <w:szCs w:val="20"/>
        </w:rPr>
        <w:t xml:space="preserve"> свойствами. Они удаляют свободные радикалы и превращают перекиси липидов в соответс</w:t>
      </w:r>
      <w:r w:rsidRPr="006D41EC">
        <w:rPr>
          <w:sz w:val="20"/>
          <w:szCs w:val="20"/>
        </w:rPr>
        <w:t>т</w:t>
      </w:r>
      <w:r w:rsidRPr="006D41EC">
        <w:rPr>
          <w:sz w:val="20"/>
          <w:szCs w:val="20"/>
        </w:rPr>
        <w:t>вующие спирты, а перекись водорода в воду. Это защищает клето</w:t>
      </w:r>
      <w:r w:rsidRPr="006D41EC">
        <w:rPr>
          <w:sz w:val="20"/>
          <w:szCs w:val="20"/>
        </w:rPr>
        <w:t>ч</w:t>
      </w:r>
      <w:r w:rsidRPr="006D41EC">
        <w:rPr>
          <w:sz w:val="20"/>
          <w:szCs w:val="20"/>
        </w:rPr>
        <w:t>ные структуры от оки</w:t>
      </w:r>
      <w:r>
        <w:rPr>
          <w:sz w:val="20"/>
          <w:szCs w:val="20"/>
        </w:rPr>
        <w:t xml:space="preserve">слительного стресса и сохраняет </w:t>
      </w:r>
      <w:r w:rsidRPr="006D41EC">
        <w:rPr>
          <w:sz w:val="20"/>
          <w:szCs w:val="20"/>
        </w:rPr>
        <w:t>субстра</w:t>
      </w:r>
      <w:r>
        <w:rPr>
          <w:sz w:val="20"/>
          <w:szCs w:val="20"/>
        </w:rPr>
        <w:t xml:space="preserve">ты межклеточного пространства в </w:t>
      </w:r>
      <w:r w:rsidRPr="006D41EC">
        <w:rPr>
          <w:sz w:val="20"/>
          <w:szCs w:val="20"/>
        </w:rPr>
        <w:t>восстановленном состоянии, что важно для функционир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>в</w:t>
      </w:r>
      <w:r>
        <w:rPr>
          <w:sz w:val="20"/>
          <w:szCs w:val="20"/>
        </w:rPr>
        <w:t>ания клетки и в конечном итоге</w:t>
      </w:r>
      <w:r w:rsidRPr="006D41EC">
        <w:rPr>
          <w:sz w:val="20"/>
          <w:szCs w:val="20"/>
        </w:rPr>
        <w:t xml:space="preserve"> для </w:t>
      </w:r>
      <w:r>
        <w:rPr>
          <w:sz w:val="20"/>
          <w:szCs w:val="20"/>
        </w:rPr>
        <w:t>поддержания оптимального уро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ня </w:t>
      </w:r>
      <w:r w:rsidRPr="006D41EC">
        <w:rPr>
          <w:sz w:val="20"/>
          <w:szCs w:val="20"/>
        </w:rPr>
        <w:t>физиологических функций целого организма [12].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вышеизложенного видно, что </w:t>
      </w:r>
      <w:proofErr w:type="gramStart"/>
      <w:r>
        <w:rPr>
          <w:sz w:val="20"/>
          <w:szCs w:val="20"/>
        </w:rPr>
        <w:t>селен</w:t>
      </w:r>
      <w:proofErr w:type="gramEnd"/>
      <w:r w:rsidRPr="006D41EC">
        <w:rPr>
          <w:sz w:val="20"/>
          <w:szCs w:val="20"/>
        </w:rPr>
        <w:t xml:space="preserve"> представляет собой физи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>логически важный микроэлемент, незаменимый в питании человека и животных. В настоящее время расшифрованы основные пути метаб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>лизма селена в организме человека</w:t>
      </w:r>
      <w:r>
        <w:rPr>
          <w:sz w:val="20"/>
          <w:szCs w:val="20"/>
        </w:rPr>
        <w:t xml:space="preserve"> и животных. Биологическая роль </w:t>
      </w:r>
      <w:r w:rsidRPr="006D41EC">
        <w:rPr>
          <w:sz w:val="20"/>
          <w:szCs w:val="20"/>
        </w:rPr>
        <w:t xml:space="preserve">селена заключается в </w:t>
      </w:r>
      <w:r>
        <w:rPr>
          <w:sz w:val="20"/>
          <w:szCs w:val="20"/>
        </w:rPr>
        <w:t>синтезе</w:t>
      </w:r>
      <w:r w:rsidRPr="006D41EC">
        <w:rPr>
          <w:sz w:val="20"/>
          <w:szCs w:val="20"/>
        </w:rPr>
        <w:t xml:space="preserve"> и регуляции активности </w:t>
      </w:r>
      <w:proofErr w:type="spellStart"/>
      <w:r w:rsidRPr="006D41EC">
        <w:rPr>
          <w:sz w:val="20"/>
          <w:szCs w:val="20"/>
        </w:rPr>
        <w:t>антиоксидантных</w:t>
      </w:r>
      <w:proofErr w:type="spellEnd"/>
      <w:r w:rsidRPr="006D41EC">
        <w:rPr>
          <w:sz w:val="20"/>
          <w:szCs w:val="20"/>
        </w:rPr>
        <w:t xml:space="preserve"> ферментов: </w:t>
      </w:r>
      <w:proofErr w:type="spellStart"/>
      <w:r w:rsidRPr="006D41EC">
        <w:rPr>
          <w:sz w:val="20"/>
          <w:szCs w:val="20"/>
        </w:rPr>
        <w:t>глутатионпероксидаз</w:t>
      </w:r>
      <w:proofErr w:type="spellEnd"/>
      <w:r w:rsidRPr="006D41EC">
        <w:rPr>
          <w:sz w:val="20"/>
          <w:szCs w:val="20"/>
        </w:rPr>
        <w:t xml:space="preserve"> I - IV, </w:t>
      </w:r>
      <w:proofErr w:type="spellStart"/>
      <w:r w:rsidRPr="006D41EC">
        <w:rPr>
          <w:sz w:val="20"/>
          <w:szCs w:val="20"/>
        </w:rPr>
        <w:t>селензависимой</w:t>
      </w:r>
      <w:proofErr w:type="spellEnd"/>
      <w:r w:rsidRPr="006D41EC">
        <w:rPr>
          <w:sz w:val="20"/>
          <w:szCs w:val="20"/>
        </w:rPr>
        <w:t xml:space="preserve"> </w:t>
      </w:r>
      <w:proofErr w:type="spellStart"/>
      <w:r w:rsidRPr="006D41EC">
        <w:rPr>
          <w:sz w:val="20"/>
          <w:szCs w:val="20"/>
        </w:rPr>
        <w:t>перокс</w:t>
      </w:r>
      <w:r w:rsidRPr="006D41EC">
        <w:rPr>
          <w:sz w:val="20"/>
          <w:szCs w:val="20"/>
        </w:rPr>
        <w:t>и</w:t>
      </w:r>
      <w:r w:rsidRPr="006D41EC">
        <w:rPr>
          <w:sz w:val="20"/>
          <w:szCs w:val="20"/>
        </w:rPr>
        <w:t>дазы</w:t>
      </w:r>
      <w:proofErr w:type="spellEnd"/>
      <w:r w:rsidRPr="006D41EC">
        <w:rPr>
          <w:sz w:val="20"/>
          <w:szCs w:val="20"/>
        </w:rPr>
        <w:t xml:space="preserve"> нейтрофилов, </w:t>
      </w:r>
      <w:proofErr w:type="spellStart"/>
      <w:r w:rsidRPr="006D41EC">
        <w:rPr>
          <w:sz w:val="20"/>
          <w:szCs w:val="20"/>
        </w:rPr>
        <w:t>селенопротеинов</w:t>
      </w:r>
      <w:proofErr w:type="spellEnd"/>
      <w:r w:rsidRPr="006D41EC">
        <w:rPr>
          <w:sz w:val="20"/>
          <w:szCs w:val="20"/>
        </w:rPr>
        <w:t xml:space="preserve"> P и W, </w:t>
      </w:r>
      <w:proofErr w:type="spellStart"/>
      <w:r w:rsidRPr="006D41EC">
        <w:rPr>
          <w:sz w:val="20"/>
          <w:szCs w:val="20"/>
        </w:rPr>
        <w:t>тиор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>доксинредуктазы</w:t>
      </w:r>
      <w:proofErr w:type="spellEnd"/>
      <w:r w:rsidRPr="006D41EC">
        <w:rPr>
          <w:sz w:val="20"/>
          <w:szCs w:val="20"/>
        </w:rPr>
        <w:t xml:space="preserve"> и 5’-йодотирониндейодиназ I, II, III и др. [4]. 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Максимальн</w:t>
      </w:r>
      <w:r>
        <w:rPr>
          <w:sz w:val="20"/>
          <w:szCs w:val="20"/>
        </w:rPr>
        <w:t>ая</w:t>
      </w:r>
      <w:r w:rsidRPr="006D41EC">
        <w:rPr>
          <w:sz w:val="20"/>
          <w:szCs w:val="20"/>
        </w:rPr>
        <w:t xml:space="preserve"> активность </w:t>
      </w:r>
      <w:proofErr w:type="spellStart"/>
      <w:r w:rsidRPr="006D41EC">
        <w:rPr>
          <w:sz w:val="20"/>
          <w:szCs w:val="20"/>
        </w:rPr>
        <w:t>глутатионпероксидазы</w:t>
      </w:r>
      <w:proofErr w:type="spellEnd"/>
      <w:r w:rsidRPr="006D41EC">
        <w:rPr>
          <w:sz w:val="20"/>
          <w:szCs w:val="20"/>
        </w:rPr>
        <w:t xml:space="preserve"> отмечается при приеме селена на уровне нижней границы физиологического оптимума потребления, что составляет около 55-70 мкг в день для взрослого ч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>ловека и порядка 0,3 мг на килограмм сухого вещества корма для ж</w:t>
      </w:r>
      <w:r w:rsidRPr="006D41EC">
        <w:rPr>
          <w:sz w:val="20"/>
          <w:szCs w:val="20"/>
        </w:rPr>
        <w:t>и</w:t>
      </w:r>
      <w:r>
        <w:rPr>
          <w:sz w:val="20"/>
          <w:szCs w:val="20"/>
        </w:rPr>
        <w:t xml:space="preserve">вотных. </w:t>
      </w:r>
      <w:r w:rsidRPr="006D41EC">
        <w:rPr>
          <w:sz w:val="20"/>
          <w:szCs w:val="20"/>
        </w:rPr>
        <w:t>Механизм действия селена на уровне верхнего предела физиологической нормы потребления, а также в фармакологическом диап</w:t>
      </w:r>
      <w:r w:rsidRPr="006D41EC">
        <w:rPr>
          <w:sz w:val="20"/>
          <w:szCs w:val="20"/>
        </w:rPr>
        <w:t>а</w:t>
      </w:r>
      <w:r w:rsidRPr="006D41EC">
        <w:rPr>
          <w:sz w:val="20"/>
          <w:szCs w:val="20"/>
        </w:rPr>
        <w:t>зоне дозировок связывается рядом авторов со стимулирующим дейс</w:t>
      </w:r>
      <w:r w:rsidRPr="006D41EC">
        <w:rPr>
          <w:sz w:val="20"/>
          <w:szCs w:val="20"/>
        </w:rPr>
        <w:t>т</w:t>
      </w:r>
      <w:r w:rsidRPr="006D41EC">
        <w:rPr>
          <w:sz w:val="20"/>
          <w:szCs w:val="20"/>
        </w:rPr>
        <w:t xml:space="preserve">вием избытка селена на активность </w:t>
      </w:r>
      <w:proofErr w:type="spellStart"/>
      <w:r w:rsidRPr="006D41EC">
        <w:rPr>
          <w:sz w:val="20"/>
          <w:szCs w:val="20"/>
        </w:rPr>
        <w:t>тиоредоксинредуктазы</w:t>
      </w:r>
      <w:proofErr w:type="spellEnd"/>
      <w:r w:rsidRPr="006D41EC">
        <w:rPr>
          <w:sz w:val="20"/>
          <w:szCs w:val="20"/>
        </w:rPr>
        <w:t xml:space="preserve"> [13].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Маргинальная недостаточность </w:t>
      </w:r>
      <w:r w:rsidRPr="006D41EC">
        <w:rPr>
          <w:sz w:val="20"/>
          <w:szCs w:val="20"/>
        </w:rPr>
        <w:t>селена, наблюдаемая у значител</w:t>
      </w:r>
      <w:r w:rsidRPr="006D41EC">
        <w:rPr>
          <w:sz w:val="20"/>
          <w:szCs w:val="20"/>
        </w:rPr>
        <w:t>ь</w:t>
      </w:r>
      <w:r w:rsidRPr="006D41EC">
        <w:rPr>
          <w:sz w:val="20"/>
          <w:szCs w:val="20"/>
        </w:rPr>
        <w:t>ной части населения Республики Беларусь и западной части Росси</w:t>
      </w:r>
      <w:r w:rsidRPr="006D41EC">
        <w:rPr>
          <w:sz w:val="20"/>
          <w:szCs w:val="20"/>
        </w:rPr>
        <w:t>й</w:t>
      </w:r>
      <w:r w:rsidRPr="006D41EC">
        <w:rPr>
          <w:sz w:val="20"/>
          <w:szCs w:val="20"/>
        </w:rPr>
        <w:t xml:space="preserve">ской Федерации, способна приводить к повышению риска </w:t>
      </w:r>
      <w:proofErr w:type="spellStart"/>
      <w:proofErr w:type="gramStart"/>
      <w:r w:rsidRPr="006D41EC">
        <w:rPr>
          <w:sz w:val="20"/>
          <w:szCs w:val="20"/>
        </w:rPr>
        <w:t>сердечно</w:t>
      </w:r>
      <w:r>
        <w:rPr>
          <w:sz w:val="20"/>
          <w:szCs w:val="20"/>
        </w:rPr>
        <w:t>-</w:t>
      </w:r>
      <w:r w:rsidRPr="006D41EC">
        <w:rPr>
          <w:sz w:val="20"/>
          <w:szCs w:val="20"/>
        </w:rPr>
        <w:t>с</w:t>
      </w:r>
      <w:r>
        <w:rPr>
          <w:sz w:val="20"/>
          <w:szCs w:val="20"/>
        </w:rPr>
        <w:t>осудистых</w:t>
      </w:r>
      <w:proofErr w:type="spellEnd"/>
      <w:proofErr w:type="gramEnd"/>
      <w:r>
        <w:rPr>
          <w:sz w:val="20"/>
          <w:szCs w:val="20"/>
        </w:rPr>
        <w:t xml:space="preserve">, </w:t>
      </w:r>
      <w:r w:rsidRPr="006D41EC">
        <w:rPr>
          <w:sz w:val="20"/>
          <w:szCs w:val="20"/>
        </w:rPr>
        <w:t>гастроэнтерологических, онкологических заболеваний, сн</w:t>
      </w:r>
      <w:r w:rsidRPr="006D41EC">
        <w:rPr>
          <w:sz w:val="20"/>
          <w:szCs w:val="20"/>
        </w:rPr>
        <w:t>и</w:t>
      </w:r>
      <w:r w:rsidRPr="006D41EC">
        <w:rPr>
          <w:sz w:val="20"/>
          <w:szCs w:val="20"/>
        </w:rPr>
        <w:t xml:space="preserve">жению </w:t>
      </w:r>
      <w:proofErr w:type="spellStart"/>
      <w:r w:rsidRPr="006D41EC">
        <w:rPr>
          <w:sz w:val="20"/>
          <w:szCs w:val="20"/>
        </w:rPr>
        <w:t>противоинфекционной</w:t>
      </w:r>
      <w:proofErr w:type="spellEnd"/>
      <w:r w:rsidRPr="006D41EC">
        <w:rPr>
          <w:sz w:val="20"/>
          <w:szCs w:val="20"/>
        </w:rPr>
        <w:t xml:space="preserve"> </w:t>
      </w:r>
      <w:proofErr w:type="spellStart"/>
      <w:r w:rsidRPr="006D41EC">
        <w:rPr>
          <w:sz w:val="20"/>
          <w:szCs w:val="20"/>
        </w:rPr>
        <w:t>резистентности</w:t>
      </w:r>
      <w:proofErr w:type="spellEnd"/>
      <w:r w:rsidRPr="006D41EC">
        <w:rPr>
          <w:sz w:val="20"/>
          <w:szCs w:val="20"/>
        </w:rPr>
        <w:t xml:space="preserve"> [1].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9E03E3">
        <w:rPr>
          <w:b/>
          <w:sz w:val="20"/>
          <w:szCs w:val="20"/>
        </w:rPr>
        <w:t>Цель работы</w:t>
      </w:r>
      <w:r>
        <w:rPr>
          <w:sz w:val="20"/>
          <w:szCs w:val="20"/>
        </w:rPr>
        <w:t>. В данном исследовании</w:t>
      </w:r>
      <w:r w:rsidRPr="006D41EC">
        <w:rPr>
          <w:sz w:val="20"/>
          <w:szCs w:val="20"/>
        </w:rPr>
        <w:t xml:space="preserve"> нами поставлена задача по изучению влияния различных форм </w:t>
      </w:r>
      <w:proofErr w:type="spellStart"/>
      <w:r w:rsidRPr="006D41EC">
        <w:rPr>
          <w:sz w:val="20"/>
          <w:szCs w:val="20"/>
        </w:rPr>
        <w:t>селенсодержащих</w:t>
      </w:r>
      <w:proofErr w:type="spellEnd"/>
      <w:r w:rsidRPr="006D41EC">
        <w:rPr>
          <w:sz w:val="20"/>
          <w:szCs w:val="20"/>
        </w:rPr>
        <w:t xml:space="preserve"> препар</w:t>
      </w:r>
      <w:r w:rsidRPr="006D41EC">
        <w:rPr>
          <w:sz w:val="20"/>
          <w:szCs w:val="20"/>
        </w:rPr>
        <w:t>а</w:t>
      </w:r>
      <w:r w:rsidRPr="006D41EC">
        <w:rPr>
          <w:sz w:val="20"/>
          <w:szCs w:val="20"/>
        </w:rPr>
        <w:t xml:space="preserve">тов на метаболический профиль телят. 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9E03E3">
        <w:rPr>
          <w:b/>
          <w:sz w:val="20"/>
          <w:szCs w:val="20"/>
        </w:rPr>
        <w:t>Материалы и методика исследований.</w:t>
      </w:r>
      <w:r>
        <w:rPr>
          <w:sz w:val="20"/>
          <w:szCs w:val="20"/>
        </w:rPr>
        <w:t xml:space="preserve"> </w:t>
      </w:r>
      <w:r w:rsidRPr="006D41EC">
        <w:rPr>
          <w:sz w:val="20"/>
          <w:szCs w:val="20"/>
        </w:rPr>
        <w:t>Для реализации поста</w:t>
      </w:r>
      <w:r w:rsidRPr="006D41EC">
        <w:rPr>
          <w:sz w:val="20"/>
          <w:szCs w:val="20"/>
        </w:rPr>
        <w:t>в</w:t>
      </w:r>
      <w:r w:rsidRPr="006D41EC">
        <w:rPr>
          <w:sz w:val="20"/>
          <w:szCs w:val="20"/>
        </w:rPr>
        <w:t>ленных целе</w:t>
      </w:r>
      <w:r>
        <w:rPr>
          <w:sz w:val="20"/>
          <w:szCs w:val="20"/>
        </w:rPr>
        <w:t>й на базе ООО «Александрийское»</w:t>
      </w:r>
      <w:r w:rsidRPr="006D41EC">
        <w:rPr>
          <w:sz w:val="20"/>
          <w:szCs w:val="20"/>
        </w:rPr>
        <w:t xml:space="preserve"> Шкловского ра</w:t>
      </w:r>
      <w:r w:rsidRPr="006D41EC">
        <w:rPr>
          <w:sz w:val="20"/>
          <w:szCs w:val="20"/>
        </w:rPr>
        <w:t>й</w:t>
      </w:r>
      <w:r w:rsidRPr="006D41EC">
        <w:rPr>
          <w:sz w:val="20"/>
          <w:szCs w:val="20"/>
        </w:rPr>
        <w:t>она Могилевской области было сф</w:t>
      </w:r>
      <w:r>
        <w:rPr>
          <w:sz w:val="20"/>
          <w:szCs w:val="20"/>
        </w:rPr>
        <w:t>ормировано три группы телят 3-4-</w:t>
      </w:r>
      <w:r w:rsidRPr="006D41EC">
        <w:rPr>
          <w:sz w:val="20"/>
          <w:szCs w:val="20"/>
        </w:rPr>
        <w:t>месячного возраста. Все животные являлись клинически здор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 xml:space="preserve">выми. Каждая группа состояла из 10 телят. </w:t>
      </w:r>
      <w:proofErr w:type="gramStart"/>
      <w:r w:rsidRPr="006D41EC">
        <w:rPr>
          <w:sz w:val="20"/>
          <w:szCs w:val="20"/>
        </w:rPr>
        <w:t>Животные получали основной рацион с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>гласно принятой в хозяйстве методике откорма и воду без ограничения. 1-ая группа – контрольная, получала корм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 xml:space="preserve">вые дрожжи в дозе </w:t>
      </w:r>
      <w:smartTag w:uri="urn:schemas-microsoft-com:office:smarttags" w:element="metricconverter">
        <w:smartTagPr>
          <w:attr w:name="ProductID" w:val="250 г"/>
        </w:smartTagPr>
        <w:r w:rsidRPr="006D41EC">
          <w:rPr>
            <w:sz w:val="20"/>
            <w:szCs w:val="20"/>
          </w:rPr>
          <w:t>250 г</w:t>
        </w:r>
      </w:smartTag>
      <w:r w:rsidRPr="006D41EC">
        <w:rPr>
          <w:sz w:val="20"/>
          <w:szCs w:val="20"/>
        </w:rPr>
        <w:t xml:space="preserve"> на тонну комбикорма и инъекции </w:t>
      </w:r>
      <w:proofErr w:type="spellStart"/>
      <w:r w:rsidRPr="006D41EC">
        <w:rPr>
          <w:sz w:val="20"/>
          <w:szCs w:val="20"/>
        </w:rPr>
        <w:t>селенсодержащего</w:t>
      </w:r>
      <w:proofErr w:type="spellEnd"/>
      <w:r w:rsidRPr="006D41EC">
        <w:rPr>
          <w:sz w:val="20"/>
          <w:szCs w:val="20"/>
        </w:rPr>
        <w:t xml:space="preserve"> препарата «Вит Е-сел», согласно инструкции Министерства сельского хозя</w:t>
      </w:r>
      <w:r w:rsidRPr="006D41EC">
        <w:rPr>
          <w:sz w:val="20"/>
          <w:szCs w:val="20"/>
        </w:rPr>
        <w:t>й</w:t>
      </w:r>
      <w:r w:rsidRPr="006D41EC">
        <w:rPr>
          <w:sz w:val="20"/>
          <w:szCs w:val="20"/>
        </w:rPr>
        <w:t>ства и продовольствия. 2-ая – 1 опытная группа, дополнительно с ко</w:t>
      </w:r>
      <w:r w:rsidRPr="006D41EC">
        <w:rPr>
          <w:sz w:val="20"/>
          <w:szCs w:val="20"/>
        </w:rPr>
        <w:t>м</w:t>
      </w:r>
      <w:r w:rsidRPr="006D41EC">
        <w:rPr>
          <w:sz w:val="20"/>
          <w:szCs w:val="20"/>
        </w:rPr>
        <w:t>бикормом получала препарат «SELENIUM YEAST»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представляющий </w:t>
      </w:r>
      <w:proofErr w:type="spellStart"/>
      <w:r w:rsidRPr="006D41EC">
        <w:rPr>
          <w:sz w:val="20"/>
          <w:szCs w:val="20"/>
        </w:rPr>
        <w:t>селенс</w:t>
      </w:r>
      <w:r w:rsidRPr="006D41EC">
        <w:rPr>
          <w:sz w:val="20"/>
          <w:szCs w:val="20"/>
        </w:rPr>
        <w:t>о</w:t>
      </w:r>
      <w:r>
        <w:rPr>
          <w:sz w:val="20"/>
          <w:szCs w:val="20"/>
        </w:rPr>
        <w:t>держащ</w:t>
      </w:r>
      <w:r w:rsidRPr="006D41EC">
        <w:rPr>
          <w:sz w:val="20"/>
          <w:szCs w:val="20"/>
        </w:rPr>
        <w:t>ие</w:t>
      </w:r>
      <w:proofErr w:type="spellEnd"/>
      <w:r w:rsidRPr="006D41EC">
        <w:rPr>
          <w:sz w:val="20"/>
          <w:szCs w:val="20"/>
        </w:rPr>
        <w:t xml:space="preserve"> дрожжи, содержащие 0,1% чисто</w:t>
      </w:r>
      <w:r>
        <w:rPr>
          <w:sz w:val="20"/>
          <w:szCs w:val="20"/>
        </w:rPr>
        <w:t>го микроэлемента</w:t>
      </w:r>
      <w:r w:rsidRPr="006D41EC">
        <w:rPr>
          <w:sz w:val="20"/>
          <w:szCs w:val="20"/>
        </w:rPr>
        <w:t xml:space="preserve"> в дозе</w:t>
      </w:r>
      <w:proofErr w:type="gramEnd"/>
      <w:r w:rsidRPr="006D41E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 г"/>
        </w:smartTagPr>
        <w:r w:rsidRPr="006D41EC">
          <w:rPr>
            <w:sz w:val="20"/>
            <w:szCs w:val="20"/>
          </w:rPr>
          <w:t>250 г</w:t>
        </w:r>
      </w:smartTag>
      <w:r w:rsidRPr="006D41EC">
        <w:rPr>
          <w:sz w:val="20"/>
          <w:szCs w:val="20"/>
        </w:rPr>
        <w:t xml:space="preserve"> на тонну комбикорма. 3-я – 2 опытная группа телят допо</w:t>
      </w:r>
      <w:r w:rsidRPr="006D41EC">
        <w:rPr>
          <w:sz w:val="20"/>
          <w:szCs w:val="20"/>
        </w:rPr>
        <w:t>л</w:t>
      </w:r>
      <w:r w:rsidRPr="006D41EC">
        <w:rPr>
          <w:sz w:val="20"/>
          <w:szCs w:val="20"/>
        </w:rPr>
        <w:t>нительно получала с комбикормом «</w:t>
      </w:r>
      <w:proofErr w:type="spellStart"/>
      <w:r w:rsidRPr="006D41EC">
        <w:rPr>
          <w:sz w:val="20"/>
          <w:szCs w:val="20"/>
        </w:rPr>
        <w:t>Селенопиран</w:t>
      </w:r>
      <w:proofErr w:type="spellEnd"/>
      <w:r w:rsidRPr="006D41EC">
        <w:rPr>
          <w:sz w:val="20"/>
          <w:szCs w:val="20"/>
        </w:rPr>
        <w:t xml:space="preserve">» (9-фенил </w:t>
      </w:r>
      <w:proofErr w:type="spellStart"/>
      <w:r w:rsidRPr="006D41EC">
        <w:rPr>
          <w:sz w:val="20"/>
          <w:szCs w:val="20"/>
        </w:rPr>
        <w:t>симм</w:t>
      </w:r>
      <w:proofErr w:type="spellEnd"/>
      <w:r w:rsidRPr="006D41EC">
        <w:rPr>
          <w:sz w:val="20"/>
          <w:szCs w:val="20"/>
        </w:rPr>
        <w:t xml:space="preserve">. </w:t>
      </w:r>
      <w:proofErr w:type="spellStart"/>
      <w:r w:rsidRPr="006D41EC">
        <w:rPr>
          <w:sz w:val="20"/>
          <w:szCs w:val="20"/>
        </w:rPr>
        <w:t>октагидроселеноксантен</w:t>
      </w:r>
      <w:proofErr w:type="spellEnd"/>
      <w:r w:rsidRPr="006D41EC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представляющий органический селен, синтезирова</w:t>
      </w:r>
      <w:r w:rsidRPr="006D41EC">
        <w:rPr>
          <w:sz w:val="20"/>
          <w:szCs w:val="20"/>
        </w:rPr>
        <w:t>н</w:t>
      </w:r>
      <w:r w:rsidRPr="006D41EC">
        <w:rPr>
          <w:sz w:val="20"/>
          <w:szCs w:val="20"/>
        </w:rPr>
        <w:t xml:space="preserve">ный во </w:t>
      </w:r>
      <w:proofErr w:type="spellStart"/>
      <w:r w:rsidRPr="006D41EC">
        <w:rPr>
          <w:sz w:val="20"/>
          <w:szCs w:val="20"/>
        </w:rPr>
        <w:t>ВНИИФБиП</w:t>
      </w:r>
      <w:proofErr w:type="spellEnd"/>
      <w:r w:rsidRPr="006D41EC">
        <w:rPr>
          <w:sz w:val="20"/>
          <w:szCs w:val="20"/>
        </w:rPr>
        <w:t xml:space="preserve"> сельскохозяйственных животных, в дозе </w:t>
      </w:r>
      <w:smartTag w:uri="urn:schemas-microsoft-com:office:smarttags" w:element="metricconverter">
        <w:smartTagPr>
          <w:attr w:name="ProductID" w:val="1 г"/>
        </w:smartTagPr>
        <w:r w:rsidRPr="006D41EC">
          <w:rPr>
            <w:sz w:val="20"/>
            <w:szCs w:val="20"/>
          </w:rPr>
          <w:t>1 г</w:t>
        </w:r>
      </w:smartTag>
      <w:r w:rsidRPr="006D41EC">
        <w:rPr>
          <w:sz w:val="20"/>
          <w:szCs w:val="20"/>
        </w:rPr>
        <w:t xml:space="preserve"> на тонну комбикорма и кормовые дрожжи в дозе </w:t>
      </w:r>
      <w:smartTag w:uri="urn:schemas-microsoft-com:office:smarttags" w:element="metricconverter">
        <w:smartTagPr>
          <w:attr w:name="ProductID" w:val="249 г"/>
        </w:smartTagPr>
        <w:r w:rsidRPr="006D41EC">
          <w:rPr>
            <w:sz w:val="20"/>
            <w:szCs w:val="20"/>
          </w:rPr>
          <w:t>249 г</w:t>
        </w:r>
      </w:smartTag>
      <w:r w:rsidRPr="006D41EC">
        <w:rPr>
          <w:sz w:val="20"/>
          <w:szCs w:val="20"/>
        </w:rPr>
        <w:t xml:space="preserve"> на тонну.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На базе научно-исследовательской лаборатории УО «Гродн</w:t>
      </w:r>
      <w:r>
        <w:rPr>
          <w:sz w:val="20"/>
          <w:szCs w:val="20"/>
        </w:rPr>
        <w:t xml:space="preserve">енский государственный аграрный </w:t>
      </w:r>
      <w:r w:rsidRPr="006D41EC">
        <w:rPr>
          <w:sz w:val="20"/>
          <w:szCs w:val="20"/>
        </w:rPr>
        <w:t>университет» были проведены исследования биохимических и свободно-радикальных процессов, опред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>ление содержания селена в крови телят.</w:t>
      </w:r>
    </w:p>
    <w:p w:rsidR="003911ED" w:rsidRPr="006D41EC" w:rsidRDefault="003911ED" w:rsidP="003911ED">
      <w:pPr>
        <w:spacing w:line="216" w:lineRule="auto"/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Все биохимические показатели сыворотки крови определя</w:t>
      </w:r>
      <w:r>
        <w:rPr>
          <w:sz w:val="20"/>
          <w:szCs w:val="20"/>
        </w:rPr>
        <w:t xml:space="preserve">ли на </w:t>
      </w:r>
      <w:proofErr w:type="spellStart"/>
      <w:r>
        <w:rPr>
          <w:sz w:val="20"/>
          <w:szCs w:val="20"/>
        </w:rPr>
        <w:t>биохромотографе</w:t>
      </w:r>
      <w:proofErr w:type="spellEnd"/>
      <w:r>
        <w:rPr>
          <w:sz w:val="20"/>
          <w:szCs w:val="20"/>
        </w:rPr>
        <w:t xml:space="preserve"> </w:t>
      </w:r>
      <w:r w:rsidRPr="006D41EC">
        <w:rPr>
          <w:sz w:val="20"/>
          <w:szCs w:val="20"/>
        </w:rPr>
        <w:t>POINTE</w:t>
      </w:r>
      <w:r>
        <w:rPr>
          <w:sz w:val="20"/>
          <w:szCs w:val="20"/>
        </w:rPr>
        <w:t xml:space="preserve"> </w:t>
      </w:r>
      <w:r w:rsidRPr="006D41EC">
        <w:rPr>
          <w:sz w:val="20"/>
          <w:szCs w:val="20"/>
        </w:rPr>
        <w:t>- 180 и спектрометре "</w:t>
      </w:r>
      <w:proofErr w:type="spellStart"/>
      <w:r w:rsidRPr="006D41EC">
        <w:rPr>
          <w:sz w:val="20"/>
          <w:szCs w:val="20"/>
        </w:rPr>
        <w:t>Флюорат</w:t>
      </w:r>
      <w:proofErr w:type="spellEnd"/>
      <w:r w:rsidRPr="006D41EC">
        <w:rPr>
          <w:sz w:val="20"/>
          <w:szCs w:val="20"/>
        </w:rPr>
        <w:t xml:space="preserve"> –02 –2М". Уровень субстратов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реагирующих с </w:t>
      </w:r>
      <w:proofErr w:type="spellStart"/>
      <w:r w:rsidRPr="006D41EC">
        <w:rPr>
          <w:sz w:val="20"/>
          <w:szCs w:val="20"/>
        </w:rPr>
        <w:t>тиабарбитуровой</w:t>
      </w:r>
      <w:proofErr w:type="spellEnd"/>
      <w:r w:rsidRPr="006D41EC">
        <w:rPr>
          <w:sz w:val="20"/>
          <w:szCs w:val="20"/>
        </w:rPr>
        <w:t xml:space="preserve"> кислотой, о</w:t>
      </w:r>
      <w:r w:rsidRPr="006D41EC">
        <w:rPr>
          <w:sz w:val="20"/>
          <w:szCs w:val="20"/>
        </w:rPr>
        <w:t>с</w:t>
      </w:r>
      <w:r w:rsidRPr="006D41EC">
        <w:rPr>
          <w:sz w:val="20"/>
          <w:szCs w:val="20"/>
        </w:rPr>
        <w:t>нов</w:t>
      </w:r>
      <w:r>
        <w:rPr>
          <w:sz w:val="20"/>
          <w:szCs w:val="20"/>
        </w:rPr>
        <w:t>ной составляющей которых</w:t>
      </w:r>
      <w:r w:rsidRPr="006D41EC">
        <w:rPr>
          <w:sz w:val="20"/>
          <w:szCs w:val="20"/>
        </w:rPr>
        <w:t xml:space="preserve"> являет</w:t>
      </w:r>
      <w:r>
        <w:rPr>
          <w:sz w:val="20"/>
          <w:szCs w:val="20"/>
        </w:rPr>
        <w:t xml:space="preserve">ся </w:t>
      </w:r>
      <w:proofErr w:type="spellStart"/>
      <w:r>
        <w:rPr>
          <w:sz w:val="20"/>
          <w:szCs w:val="20"/>
        </w:rPr>
        <w:t>малоновый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диальдегид</w:t>
      </w:r>
      <w:proofErr w:type="spellEnd"/>
      <w:r>
        <w:rPr>
          <w:sz w:val="20"/>
          <w:szCs w:val="20"/>
        </w:rPr>
        <w:t xml:space="preserve"> (МДА) и </w:t>
      </w:r>
      <w:r w:rsidRPr="006D41EC">
        <w:rPr>
          <w:sz w:val="20"/>
          <w:szCs w:val="20"/>
        </w:rPr>
        <w:t xml:space="preserve">показатели </w:t>
      </w:r>
      <w:proofErr w:type="spellStart"/>
      <w:r w:rsidRPr="006D41EC">
        <w:rPr>
          <w:sz w:val="20"/>
          <w:szCs w:val="20"/>
        </w:rPr>
        <w:t>антиоксидантной</w:t>
      </w:r>
      <w:proofErr w:type="spellEnd"/>
      <w:r w:rsidRPr="006D41EC">
        <w:rPr>
          <w:sz w:val="20"/>
          <w:szCs w:val="20"/>
        </w:rPr>
        <w:t xml:space="preserve"> системы (</w:t>
      </w:r>
      <w:proofErr w:type="spellStart"/>
      <w:r w:rsidRPr="006D41EC">
        <w:rPr>
          <w:sz w:val="20"/>
          <w:szCs w:val="20"/>
        </w:rPr>
        <w:t>глутатион</w:t>
      </w:r>
      <w:proofErr w:type="spellEnd"/>
      <w:r w:rsidRPr="006D41EC">
        <w:rPr>
          <w:sz w:val="20"/>
          <w:szCs w:val="20"/>
        </w:rPr>
        <w:t xml:space="preserve">, </w:t>
      </w:r>
      <w:proofErr w:type="spellStart"/>
      <w:r w:rsidRPr="006D41EC">
        <w:rPr>
          <w:sz w:val="20"/>
          <w:szCs w:val="20"/>
        </w:rPr>
        <w:t>глутатионпероксидаза</w:t>
      </w:r>
      <w:proofErr w:type="spellEnd"/>
      <w:r w:rsidRPr="006D41EC">
        <w:rPr>
          <w:sz w:val="20"/>
          <w:szCs w:val="20"/>
        </w:rPr>
        <w:t xml:space="preserve"> (ГПО), каталаза)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определяли методами абсорбционной фотоме</w:t>
      </w:r>
      <w:r w:rsidRPr="006D41EC">
        <w:rPr>
          <w:sz w:val="20"/>
          <w:szCs w:val="20"/>
        </w:rPr>
        <w:t>т</w:t>
      </w:r>
      <w:r w:rsidRPr="006D41EC">
        <w:rPr>
          <w:sz w:val="20"/>
          <w:szCs w:val="20"/>
        </w:rPr>
        <w:t>рии</w:t>
      </w:r>
      <w:r>
        <w:rPr>
          <w:sz w:val="20"/>
          <w:szCs w:val="20"/>
        </w:rPr>
        <w:t xml:space="preserve"> [6]. Селен </w:t>
      </w:r>
      <w:r w:rsidRPr="006D41EC">
        <w:rPr>
          <w:sz w:val="20"/>
          <w:szCs w:val="20"/>
        </w:rPr>
        <w:t xml:space="preserve">определяли </w:t>
      </w:r>
      <w:proofErr w:type="spellStart"/>
      <w:r w:rsidRPr="006D41EC">
        <w:rPr>
          <w:sz w:val="20"/>
          <w:szCs w:val="20"/>
        </w:rPr>
        <w:t>флуориметрич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>ским</w:t>
      </w:r>
      <w:proofErr w:type="spellEnd"/>
      <w:r w:rsidRPr="006D41EC">
        <w:rPr>
          <w:sz w:val="20"/>
          <w:szCs w:val="20"/>
        </w:rPr>
        <w:t xml:space="preserve"> методом с 2,3-диаминонафталином [4].</w:t>
      </w:r>
    </w:p>
    <w:p w:rsidR="003911ED" w:rsidRPr="006D41EC" w:rsidRDefault="003911ED" w:rsidP="003911ED">
      <w:pPr>
        <w:spacing w:line="216" w:lineRule="auto"/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 xml:space="preserve">Результаты </w:t>
      </w:r>
      <w:r>
        <w:rPr>
          <w:sz w:val="20"/>
          <w:szCs w:val="20"/>
        </w:rPr>
        <w:t>обрабатывали</w:t>
      </w:r>
      <w:r w:rsidRPr="006D41EC">
        <w:rPr>
          <w:sz w:val="20"/>
          <w:szCs w:val="20"/>
        </w:rPr>
        <w:t xml:space="preserve"> статистически по программе </w:t>
      </w:r>
      <w:proofErr w:type="spellStart"/>
      <w:r w:rsidRPr="006D41EC">
        <w:rPr>
          <w:sz w:val="20"/>
          <w:szCs w:val="20"/>
          <w:lang w:val="en-US"/>
        </w:rPr>
        <w:t>St</w:t>
      </w:r>
      <w:r w:rsidRPr="006D41EC">
        <w:rPr>
          <w:sz w:val="20"/>
          <w:szCs w:val="20"/>
          <w:lang w:val="en-US"/>
        </w:rPr>
        <w:t>a</w:t>
      </w:r>
      <w:r w:rsidRPr="006D41EC">
        <w:rPr>
          <w:sz w:val="20"/>
          <w:szCs w:val="20"/>
          <w:lang w:val="en-US"/>
        </w:rPr>
        <w:t>tistika</w:t>
      </w:r>
      <w:proofErr w:type="spellEnd"/>
      <w:r>
        <w:rPr>
          <w:sz w:val="20"/>
          <w:szCs w:val="20"/>
        </w:rPr>
        <w:t xml:space="preserve"> 6.0. Достоверность </w:t>
      </w:r>
      <w:r w:rsidRPr="006D41EC">
        <w:rPr>
          <w:sz w:val="20"/>
          <w:szCs w:val="20"/>
        </w:rPr>
        <w:t>разницы показателей между группами определяли м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 xml:space="preserve">тодом параметрической статистики по критерию </w:t>
      </w:r>
      <w:r w:rsidRPr="006D41EC">
        <w:rPr>
          <w:i/>
          <w:sz w:val="20"/>
          <w:szCs w:val="20"/>
          <w:lang w:val="en-US"/>
        </w:rPr>
        <w:t>t</w:t>
      </w:r>
      <w:r w:rsidRPr="006D41EC">
        <w:rPr>
          <w:i/>
          <w:sz w:val="20"/>
          <w:szCs w:val="20"/>
        </w:rPr>
        <w:t>-</w:t>
      </w:r>
      <w:r w:rsidRPr="006D41EC">
        <w:rPr>
          <w:sz w:val="20"/>
          <w:szCs w:val="20"/>
        </w:rPr>
        <w:t>Стьюдента.</w:t>
      </w:r>
    </w:p>
    <w:p w:rsidR="003911ED" w:rsidRDefault="003911ED" w:rsidP="003911ED">
      <w:pPr>
        <w:spacing w:line="228" w:lineRule="auto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Результаты </w:t>
      </w:r>
      <w:r w:rsidRPr="009E03E3">
        <w:rPr>
          <w:b/>
          <w:sz w:val="20"/>
          <w:szCs w:val="20"/>
        </w:rPr>
        <w:t>исследований и их обсуждение.</w:t>
      </w:r>
      <w:r>
        <w:rPr>
          <w:sz w:val="20"/>
          <w:szCs w:val="20"/>
        </w:rPr>
        <w:t xml:space="preserve"> </w:t>
      </w:r>
      <w:r w:rsidRPr="006D41EC">
        <w:rPr>
          <w:sz w:val="20"/>
          <w:szCs w:val="20"/>
        </w:rPr>
        <w:t>В начале экспер</w:t>
      </w:r>
      <w:r w:rsidRPr="006D41EC">
        <w:rPr>
          <w:sz w:val="20"/>
          <w:szCs w:val="20"/>
        </w:rPr>
        <w:t>и</w:t>
      </w:r>
      <w:r w:rsidRPr="006D41EC">
        <w:rPr>
          <w:sz w:val="20"/>
          <w:szCs w:val="20"/>
        </w:rPr>
        <w:t>мента были определены биохимические показатели и уровень переки</w:t>
      </w:r>
      <w:r w:rsidRPr="006D41EC">
        <w:rPr>
          <w:sz w:val="20"/>
          <w:szCs w:val="20"/>
        </w:rPr>
        <w:t>с</w:t>
      </w:r>
      <w:r w:rsidRPr="006D41EC">
        <w:rPr>
          <w:sz w:val="20"/>
          <w:szCs w:val="20"/>
        </w:rPr>
        <w:t xml:space="preserve">ного окисления липидов и </w:t>
      </w:r>
      <w:proofErr w:type="spellStart"/>
      <w:r w:rsidRPr="006D41EC">
        <w:rPr>
          <w:sz w:val="20"/>
          <w:szCs w:val="20"/>
        </w:rPr>
        <w:t>антиоксидантной</w:t>
      </w:r>
      <w:proofErr w:type="spellEnd"/>
      <w:r w:rsidRPr="006D41EC">
        <w:rPr>
          <w:sz w:val="20"/>
          <w:szCs w:val="20"/>
        </w:rPr>
        <w:t xml:space="preserve"> защиты у всех животных (таблица 1). Результаты исследований указывали на то, что все опред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 xml:space="preserve">ленные показатели </w:t>
      </w:r>
      <w:proofErr w:type="gramStart"/>
      <w:r w:rsidRPr="006D41EC">
        <w:rPr>
          <w:sz w:val="20"/>
          <w:szCs w:val="20"/>
        </w:rPr>
        <w:t>контрольной</w:t>
      </w:r>
      <w:proofErr w:type="gramEnd"/>
      <w:r w:rsidRPr="006D41EC">
        <w:rPr>
          <w:sz w:val="20"/>
          <w:szCs w:val="20"/>
        </w:rPr>
        <w:t xml:space="preserve"> и опытных групп не имели достоверных различий и входили в пределы </w:t>
      </w:r>
      <w:proofErr w:type="spellStart"/>
      <w:r w:rsidRPr="006D41EC">
        <w:rPr>
          <w:sz w:val="20"/>
          <w:szCs w:val="20"/>
        </w:rPr>
        <w:t>референтных</w:t>
      </w:r>
      <w:proofErr w:type="spellEnd"/>
      <w:r w:rsidRPr="006D41EC">
        <w:rPr>
          <w:sz w:val="20"/>
          <w:szCs w:val="20"/>
        </w:rPr>
        <w:t xml:space="preserve"> величин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свойстве</w:t>
      </w:r>
      <w:r w:rsidRPr="006D41EC">
        <w:rPr>
          <w:sz w:val="20"/>
          <w:szCs w:val="20"/>
        </w:rPr>
        <w:t>н</w:t>
      </w:r>
      <w:r w:rsidRPr="006D41EC">
        <w:rPr>
          <w:sz w:val="20"/>
          <w:szCs w:val="20"/>
        </w:rPr>
        <w:t>ных здоровым животным.</w:t>
      </w:r>
    </w:p>
    <w:p w:rsidR="003911ED" w:rsidRPr="00F14B64" w:rsidRDefault="003911ED" w:rsidP="003911ED">
      <w:pPr>
        <w:spacing w:line="228" w:lineRule="auto"/>
        <w:ind w:firstLine="284"/>
        <w:jc w:val="both"/>
        <w:rPr>
          <w:sz w:val="20"/>
          <w:szCs w:val="20"/>
        </w:rPr>
      </w:pPr>
      <w:r w:rsidRPr="00F14B64">
        <w:rPr>
          <w:sz w:val="20"/>
          <w:szCs w:val="20"/>
        </w:rPr>
        <w:t>Таблица 1 – Метаболический профиль подопытных телят в начале эксперимента</w:t>
      </w:r>
    </w:p>
    <w:tbl>
      <w:tblPr>
        <w:tblW w:w="48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7"/>
        <w:gridCol w:w="947"/>
        <w:gridCol w:w="948"/>
        <w:gridCol w:w="949"/>
        <w:gridCol w:w="948"/>
        <w:gridCol w:w="948"/>
        <w:gridCol w:w="949"/>
        <w:gridCol w:w="948"/>
        <w:gridCol w:w="948"/>
        <w:gridCol w:w="944"/>
      </w:tblGrid>
      <w:tr w:rsidR="003911ED" w:rsidRPr="009E03E3" w:rsidTr="002E185D">
        <w:trPr>
          <w:trHeight w:val="882"/>
        </w:trPr>
        <w:tc>
          <w:tcPr>
            <w:tcW w:w="500" w:type="pct"/>
          </w:tcPr>
          <w:p w:rsidR="003911ED" w:rsidRPr="009E03E3" w:rsidRDefault="003911ED" w:rsidP="002E185D">
            <w:pPr>
              <w:autoSpaceDE w:val="0"/>
              <w:autoSpaceDN w:val="0"/>
              <w:adjustRightInd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03E3">
              <w:rPr>
                <w:color w:val="000000"/>
                <w:sz w:val="16"/>
                <w:szCs w:val="16"/>
              </w:rPr>
              <w:t>Общийб</w:t>
            </w:r>
            <w:r w:rsidRPr="009E03E3">
              <w:rPr>
                <w:color w:val="000000"/>
                <w:sz w:val="16"/>
                <w:szCs w:val="16"/>
              </w:rPr>
              <w:t>е</w:t>
            </w:r>
            <w:r w:rsidRPr="009E03E3">
              <w:rPr>
                <w:color w:val="000000"/>
                <w:sz w:val="16"/>
                <w:szCs w:val="16"/>
              </w:rPr>
              <w:t>лок</w:t>
            </w:r>
            <w:proofErr w:type="spellEnd"/>
            <w:r w:rsidRPr="009E03E3">
              <w:rPr>
                <w:color w:val="000000"/>
                <w:sz w:val="16"/>
                <w:szCs w:val="16"/>
              </w:rPr>
              <w:t>, г/л</w:t>
            </w:r>
          </w:p>
        </w:tc>
        <w:tc>
          <w:tcPr>
            <w:tcW w:w="500" w:type="pct"/>
          </w:tcPr>
          <w:p w:rsidR="003911ED" w:rsidRPr="009E03E3" w:rsidRDefault="003911ED" w:rsidP="002E185D">
            <w:pPr>
              <w:autoSpaceDE w:val="0"/>
              <w:autoSpaceDN w:val="0"/>
              <w:adjustRightInd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Альбум</w:t>
            </w:r>
            <w:r w:rsidRPr="009E03E3">
              <w:rPr>
                <w:color w:val="000000"/>
                <w:sz w:val="16"/>
                <w:szCs w:val="16"/>
              </w:rPr>
              <w:t>и</w:t>
            </w:r>
            <w:r w:rsidRPr="009E03E3">
              <w:rPr>
                <w:color w:val="000000"/>
                <w:sz w:val="16"/>
                <w:szCs w:val="16"/>
              </w:rPr>
              <w:t xml:space="preserve">ны, </w:t>
            </w:r>
            <w:proofErr w:type="gramStart"/>
            <w:r w:rsidRPr="009E03E3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E03E3">
              <w:rPr>
                <w:color w:val="000000"/>
                <w:sz w:val="16"/>
                <w:szCs w:val="16"/>
              </w:rPr>
              <w:t>/л</w:t>
            </w:r>
          </w:p>
        </w:tc>
        <w:tc>
          <w:tcPr>
            <w:tcW w:w="500" w:type="pct"/>
          </w:tcPr>
          <w:p w:rsidR="003911ED" w:rsidRPr="009E03E3" w:rsidRDefault="003911ED" w:rsidP="002E185D">
            <w:pPr>
              <w:autoSpaceDE w:val="0"/>
              <w:autoSpaceDN w:val="0"/>
              <w:adjustRightInd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E03E3">
              <w:rPr>
                <w:color w:val="000000"/>
                <w:sz w:val="16"/>
                <w:szCs w:val="16"/>
              </w:rPr>
              <w:t>Глоб</w:t>
            </w:r>
            <w:r w:rsidRPr="009E03E3">
              <w:rPr>
                <w:color w:val="000000"/>
                <w:sz w:val="16"/>
                <w:szCs w:val="16"/>
              </w:rPr>
              <w:t>у</w:t>
            </w:r>
            <w:r w:rsidRPr="009E03E3">
              <w:rPr>
                <w:color w:val="000000"/>
                <w:sz w:val="16"/>
                <w:szCs w:val="16"/>
              </w:rPr>
              <w:t>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E03E3">
              <w:rPr>
                <w:color w:val="000000"/>
                <w:sz w:val="16"/>
                <w:szCs w:val="16"/>
              </w:rPr>
              <w:t>ны</w:t>
            </w:r>
            <w:proofErr w:type="spellEnd"/>
            <w:proofErr w:type="gramEnd"/>
            <w:r w:rsidRPr="009E03E3">
              <w:rPr>
                <w:color w:val="000000"/>
                <w:sz w:val="16"/>
                <w:szCs w:val="16"/>
              </w:rPr>
              <w:t>, г/л</w:t>
            </w:r>
          </w:p>
        </w:tc>
        <w:tc>
          <w:tcPr>
            <w:tcW w:w="501" w:type="pct"/>
          </w:tcPr>
          <w:p w:rsidR="003911ED" w:rsidRDefault="003911ED" w:rsidP="002E185D">
            <w:pPr>
              <w:autoSpaceDE w:val="0"/>
              <w:autoSpaceDN w:val="0"/>
              <w:adjustRightInd w:val="0"/>
              <w:ind w:left="-145" w:right="-177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Бил</w:t>
            </w:r>
            <w:r w:rsidRPr="009E03E3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3911ED" w:rsidRDefault="003911ED" w:rsidP="002E185D">
            <w:pPr>
              <w:autoSpaceDE w:val="0"/>
              <w:autoSpaceDN w:val="0"/>
              <w:adjustRightInd w:val="0"/>
              <w:ind w:left="-145" w:right="-17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03E3">
              <w:rPr>
                <w:color w:val="000000"/>
                <w:sz w:val="16"/>
                <w:szCs w:val="16"/>
              </w:rPr>
              <w:t>ру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3911ED" w:rsidRDefault="003911ED" w:rsidP="002E185D">
            <w:pPr>
              <w:autoSpaceDE w:val="0"/>
              <w:autoSpaceDN w:val="0"/>
              <w:adjustRightInd w:val="0"/>
              <w:ind w:left="-145" w:right="-17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03E3">
              <w:rPr>
                <w:color w:val="000000"/>
                <w:sz w:val="16"/>
                <w:szCs w:val="16"/>
              </w:rPr>
              <w:t>бин</w:t>
            </w:r>
            <w:proofErr w:type="spellEnd"/>
            <w:r w:rsidRPr="009E03E3">
              <w:rPr>
                <w:color w:val="000000"/>
                <w:sz w:val="16"/>
                <w:szCs w:val="16"/>
              </w:rPr>
              <w:t xml:space="preserve">, </w:t>
            </w:r>
          </w:p>
          <w:p w:rsidR="003911ED" w:rsidRDefault="003911ED" w:rsidP="002E185D">
            <w:pPr>
              <w:autoSpaceDE w:val="0"/>
              <w:autoSpaceDN w:val="0"/>
              <w:adjustRightInd w:val="0"/>
              <w:ind w:left="-145" w:right="-17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03E3">
              <w:rPr>
                <w:color w:val="000000"/>
                <w:sz w:val="16"/>
                <w:szCs w:val="16"/>
              </w:rPr>
              <w:t>мк</w:t>
            </w:r>
            <w:proofErr w:type="spellEnd"/>
          </w:p>
          <w:p w:rsidR="003911ED" w:rsidRPr="009E03E3" w:rsidRDefault="003911ED" w:rsidP="002E185D">
            <w:pPr>
              <w:tabs>
                <w:tab w:val="left" w:pos="395"/>
              </w:tabs>
              <w:autoSpaceDE w:val="0"/>
              <w:autoSpaceDN w:val="0"/>
              <w:adjustRightInd w:val="0"/>
              <w:ind w:left="-145" w:right="-177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моль/</w:t>
            </w:r>
            <w:proofErr w:type="gramStart"/>
            <w:r w:rsidRPr="009E03E3">
              <w:rPr>
                <w:color w:val="000000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00" w:type="pct"/>
          </w:tcPr>
          <w:p w:rsidR="003911ED" w:rsidRDefault="003911ED" w:rsidP="002E185D">
            <w:pPr>
              <w:autoSpaceDE w:val="0"/>
              <w:autoSpaceDN w:val="0"/>
              <w:adjustRightInd w:val="0"/>
              <w:ind w:left="-49" w:right="-177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Хол</w:t>
            </w:r>
            <w:r w:rsidRPr="009E03E3">
              <w:rPr>
                <w:color w:val="000000"/>
                <w:sz w:val="16"/>
                <w:szCs w:val="16"/>
              </w:rPr>
              <w:t>е</w:t>
            </w:r>
            <w:r w:rsidRPr="009E03E3">
              <w:rPr>
                <w:color w:val="000000"/>
                <w:sz w:val="16"/>
                <w:szCs w:val="16"/>
              </w:rPr>
              <w:t xml:space="preserve">стерин, </w:t>
            </w:r>
            <w:proofErr w:type="spellStart"/>
            <w:r w:rsidRPr="009E03E3">
              <w:rPr>
                <w:color w:val="000000"/>
                <w:sz w:val="16"/>
                <w:szCs w:val="16"/>
              </w:rPr>
              <w:t>мк</w:t>
            </w:r>
            <w:proofErr w:type="spellEnd"/>
          </w:p>
          <w:p w:rsidR="003911ED" w:rsidRPr="009E03E3" w:rsidRDefault="003911ED" w:rsidP="002E185D">
            <w:pPr>
              <w:autoSpaceDE w:val="0"/>
              <w:autoSpaceDN w:val="0"/>
              <w:adjustRightInd w:val="0"/>
              <w:ind w:left="-49" w:right="-177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моль/</w:t>
            </w:r>
            <w:proofErr w:type="gramStart"/>
            <w:r w:rsidRPr="009E03E3">
              <w:rPr>
                <w:color w:val="000000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00" w:type="pct"/>
          </w:tcPr>
          <w:p w:rsidR="003911ED" w:rsidRDefault="003911ED" w:rsidP="002E185D">
            <w:pPr>
              <w:autoSpaceDE w:val="0"/>
              <w:autoSpaceDN w:val="0"/>
              <w:adjustRightInd w:val="0"/>
              <w:ind w:left="-111" w:right="-3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03E3">
              <w:rPr>
                <w:color w:val="000000"/>
                <w:sz w:val="16"/>
                <w:szCs w:val="16"/>
              </w:rPr>
              <w:t>Глю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3911ED" w:rsidRDefault="003911ED" w:rsidP="002E185D">
            <w:pPr>
              <w:autoSpaceDE w:val="0"/>
              <w:autoSpaceDN w:val="0"/>
              <w:adjustRightInd w:val="0"/>
              <w:ind w:left="-111" w:right="-33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к</w:t>
            </w:r>
            <w:r w:rsidRPr="009E03E3">
              <w:rPr>
                <w:color w:val="000000"/>
                <w:sz w:val="16"/>
                <w:szCs w:val="16"/>
              </w:rPr>
              <w:t>о</w:t>
            </w:r>
            <w:r w:rsidRPr="009E03E3">
              <w:rPr>
                <w:color w:val="000000"/>
                <w:sz w:val="16"/>
                <w:szCs w:val="16"/>
              </w:rPr>
              <w:t>за,</w:t>
            </w:r>
            <w:r>
              <w:rPr>
                <w:color w:val="000000"/>
                <w:sz w:val="16"/>
                <w:szCs w:val="16"/>
              </w:rPr>
              <w:t xml:space="preserve"> моль</w:t>
            </w:r>
          </w:p>
          <w:p w:rsidR="003911ED" w:rsidRPr="009E03E3" w:rsidRDefault="003911ED" w:rsidP="002E185D">
            <w:pPr>
              <w:autoSpaceDE w:val="0"/>
              <w:autoSpaceDN w:val="0"/>
              <w:adjustRightInd w:val="0"/>
              <w:ind w:left="-111" w:right="-33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9E03E3">
              <w:rPr>
                <w:color w:val="000000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01" w:type="pct"/>
          </w:tcPr>
          <w:p w:rsidR="003911ED" w:rsidRDefault="003911ED" w:rsidP="002E185D">
            <w:pPr>
              <w:tabs>
                <w:tab w:val="left" w:pos="537"/>
              </w:tabs>
              <w:autoSpaceDE w:val="0"/>
              <w:autoSpaceDN w:val="0"/>
              <w:adjustRightInd w:val="0"/>
              <w:ind w:right="-13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03E3">
              <w:rPr>
                <w:color w:val="000000"/>
                <w:sz w:val="16"/>
                <w:szCs w:val="16"/>
              </w:rPr>
              <w:t>Глутатио</w:t>
            </w:r>
            <w:r w:rsidRPr="009E03E3">
              <w:rPr>
                <w:color w:val="000000"/>
                <w:sz w:val="16"/>
                <w:szCs w:val="16"/>
              </w:rPr>
              <w:t>н</w:t>
            </w:r>
            <w:r w:rsidRPr="009E03E3">
              <w:rPr>
                <w:color w:val="000000"/>
                <w:sz w:val="16"/>
                <w:szCs w:val="16"/>
              </w:rPr>
              <w:t>ммоль</w:t>
            </w:r>
            <w:proofErr w:type="spellEnd"/>
          </w:p>
          <w:p w:rsidR="003911ED" w:rsidRPr="009E03E3" w:rsidRDefault="003911ED" w:rsidP="002E185D">
            <w:pPr>
              <w:tabs>
                <w:tab w:val="left" w:pos="537"/>
              </w:tabs>
              <w:autoSpaceDE w:val="0"/>
              <w:autoSpaceDN w:val="0"/>
              <w:adjustRightInd w:val="0"/>
              <w:ind w:right="-139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9E03E3">
              <w:rPr>
                <w:color w:val="000000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00" w:type="pct"/>
          </w:tcPr>
          <w:p w:rsidR="003911ED" w:rsidRPr="009E03E3" w:rsidRDefault="003911ED" w:rsidP="002E185D">
            <w:pPr>
              <w:autoSpaceDE w:val="0"/>
              <w:autoSpaceDN w:val="0"/>
              <w:adjustRightInd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ГПО</w:t>
            </w:r>
          </w:p>
          <w:p w:rsidR="003911ED" w:rsidRPr="009E03E3" w:rsidRDefault="003911ED" w:rsidP="002E185D">
            <w:pPr>
              <w:autoSpaceDE w:val="0"/>
              <w:autoSpaceDN w:val="0"/>
              <w:adjustRightInd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03E3">
              <w:rPr>
                <w:color w:val="000000"/>
                <w:sz w:val="16"/>
                <w:szCs w:val="16"/>
              </w:rPr>
              <w:t>нмоль</w:t>
            </w:r>
            <w:proofErr w:type="spellEnd"/>
            <w:r w:rsidRPr="009E03E3">
              <w:rPr>
                <w:color w:val="000000"/>
                <w:sz w:val="16"/>
                <w:szCs w:val="16"/>
              </w:rPr>
              <w:t>/мин</w:t>
            </w:r>
            <w:proofErr w:type="gramStart"/>
            <w:r w:rsidRPr="009E03E3">
              <w:rPr>
                <w:color w:val="000000"/>
                <w:sz w:val="16"/>
                <w:szCs w:val="16"/>
              </w:rPr>
              <w:t>.л</w:t>
            </w:r>
            <w:proofErr w:type="gramEnd"/>
          </w:p>
        </w:tc>
        <w:tc>
          <w:tcPr>
            <w:tcW w:w="500" w:type="pct"/>
          </w:tcPr>
          <w:p w:rsidR="003911ED" w:rsidRPr="009E03E3" w:rsidRDefault="003911ED" w:rsidP="002E185D">
            <w:pPr>
              <w:autoSpaceDE w:val="0"/>
              <w:autoSpaceDN w:val="0"/>
              <w:adjustRightInd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Кат</w:t>
            </w:r>
            <w:r w:rsidRPr="009E03E3">
              <w:rPr>
                <w:color w:val="000000"/>
                <w:sz w:val="16"/>
                <w:szCs w:val="16"/>
              </w:rPr>
              <w:t>а</w:t>
            </w:r>
            <w:r w:rsidRPr="009E03E3">
              <w:rPr>
                <w:color w:val="000000"/>
                <w:sz w:val="16"/>
                <w:szCs w:val="16"/>
              </w:rPr>
              <w:t>лаза</w:t>
            </w:r>
          </w:p>
          <w:p w:rsidR="003911ED" w:rsidRPr="009E03E3" w:rsidRDefault="003911ED" w:rsidP="002E185D">
            <w:pPr>
              <w:autoSpaceDE w:val="0"/>
              <w:autoSpaceDN w:val="0"/>
              <w:adjustRightInd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03E3">
              <w:rPr>
                <w:color w:val="000000"/>
                <w:sz w:val="16"/>
                <w:szCs w:val="16"/>
              </w:rPr>
              <w:t>нмоль</w:t>
            </w:r>
            <w:proofErr w:type="spellEnd"/>
            <w:r>
              <w:rPr>
                <w:color w:val="000000"/>
                <w:sz w:val="16"/>
                <w:szCs w:val="16"/>
              </w:rPr>
              <w:t>/мин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9E03E3">
              <w:rPr>
                <w:color w:val="000000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01" w:type="pct"/>
          </w:tcPr>
          <w:p w:rsidR="003911ED" w:rsidRPr="009E03E3" w:rsidRDefault="003911ED" w:rsidP="002E185D">
            <w:pPr>
              <w:autoSpaceDE w:val="0"/>
              <w:autoSpaceDN w:val="0"/>
              <w:adjustRightInd w:val="0"/>
              <w:ind w:left="-41" w:right="-105"/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МДА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03E3">
              <w:rPr>
                <w:color w:val="000000"/>
                <w:sz w:val="16"/>
                <w:szCs w:val="16"/>
              </w:rPr>
              <w:t>мкмоль</w:t>
            </w:r>
            <w:proofErr w:type="spellEnd"/>
            <w:r w:rsidRPr="009E03E3">
              <w:rPr>
                <w:color w:val="000000"/>
                <w:sz w:val="16"/>
                <w:szCs w:val="16"/>
              </w:rPr>
              <w:t>/л</w:t>
            </w:r>
          </w:p>
        </w:tc>
      </w:tr>
      <w:tr w:rsidR="003911ED" w:rsidRPr="009E03E3" w:rsidTr="002E185D">
        <w:tc>
          <w:tcPr>
            <w:tcW w:w="500" w:type="pct"/>
            <w:vAlign w:val="center"/>
          </w:tcPr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sz w:val="16"/>
                <w:szCs w:val="16"/>
              </w:rPr>
              <w:t>69,83</w:t>
            </w:r>
            <w:r w:rsidRPr="009E03E3">
              <w:rPr>
                <w:color w:val="000000"/>
                <w:sz w:val="16"/>
                <w:szCs w:val="16"/>
              </w:rPr>
              <w:t>± 4,91</w:t>
            </w:r>
          </w:p>
        </w:tc>
        <w:tc>
          <w:tcPr>
            <w:tcW w:w="500" w:type="pct"/>
            <w:vAlign w:val="center"/>
          </w:tcPr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sz w:val="16"/>
                <w:szCs w:val="16"/>
              </w:rPr>
              <w:t xml:space="preserve">39,62 </w:t>
            </w:r>
            <w:r w:rsidRPr="009E03E3">
              <w:rPr>
                <w:color w:val="000000"/>
                <w:sz w:val="16"/>
                <w:szCs w:val="16"/>
              </w:rPr>
              <w:t>± 8,17</w:t>
            </w:r>
          </w:p>
        </w:tc>
        <w:tc>
          <w:tcPr>
            <w:tcW w:w="500" w:type="pct"/>
            <w:vAlign w:val="center"/>
          </w:tcPr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sz w:val="16"/>
                <w:szCs w:val="16"/>
              </w:rPr>
              <w:t xml:space="preserve">30,21 </w:t>
            </w:r>
            <w:r w:rsidRPr="009E03E3">
              <w:rPr>
                <w:color w:val="000000"/>
                <w:sz w:val="16"/>
                <w:szCs w:val="16"/>
              </w:rPr>
              <w:t>± 5,67</w:t>
            </w:r>
          </w:p>
        </w:tc>
        <w:tc>
          <w:tcPr>
            <w:tcW w:w="501" w:type="pct"/>
            <w:vAlign w:val="center"/>
          </w:tcPr>
          <w:p w:rsidR="003911ED" w:rsidRDefault="003911ED" w:rsidP="002E185D">
            <w:pPr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 xml:space="preserve">6,3 </w:t>
            </w:r>
          </w:p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± 0,74</w:t>
            </w:r>
          </w:p>
        </w:tc>
        <w:tc>
          <w:tcPr>
            <w:tcW w:w="500" w:type="pct"/>
            <w:vAlign w:val="center"/>
          </w:tcPr>
          <w:p w:rsidR="003911ED" w:rsidRDefault="003911ED" w:rsidP="002E185D">
            <w:pPr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 xml:space="preserve">2,3 </w:t>
            </w:r>
          </w:p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± 0,63</w:t>
            </w:r>
          </w:p>
        </w:tc>
        <w:tc>
          <w:tcPr>
            <w:tcW w:w="500" w:type="pct"/>
            <w:vAlign w:val="center"/>
          </w:tcPr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4,98 ± 0,49</w:t>
            </w:r>
          </w:p>
        </w:tc>
        <w:tc>
          <w:tcPr>
            <w:tcW w:w="501" w:type="pct"/>
            <w:vAlign w:val="center"/>
          </w:tcPr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0,17 ± 0,05</w:t>
            </w:r>
          </w:p>
        </w:tc>
        <w:tc>
          <w:tcPr>
            <w:tcW w:w="500" w:type="pct"/>
            <w:vAlign w:val="center"/>
          </w:tcPr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4,98 ± 0,49</w:t>
            </w:r>
          </w:p>
        </w:tc>
        <w:tc>
          <w:tcPr>
            <w:tcW w:w="500" w:type="pct"/>
            <w:vAlign w:val="center"/>
          </w:tcPr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52,78 ± 5,45</w:t>
            </w:r>
          </w:p>
        </w:tc>
        <w:tc>
          <w:tcPr>
            <w:tcW w:w="501" w:type="pct"/>
            <w:vAlign w:val="center"/>
          </w:tcPr>
          <w:p w:rsidR="003911ED" w:rsidRDefault="003911ED" w:rsidP="002E185D">
            <w:pPr>
              <w:jc w:val="center"/>
              <w:rPr>
                <w:color w:val="000000"/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 xml:space="preserve">1,7 </w:t>
            </w:r>
          </w:p>
          <w:p w:rsidR="003911ED" w:rsidRPr="009E03E3" w:rsidRDefault="003911ED" w:rsidP="002E185D">
            <w:pPr>
              <w:jc w:val="center"/>
              <w:rPr>
                <w:sz w:val="16"/>
                <w:szCs w:val="16"/>
              </w:rPr>
            </w:pPr>
            <w:r w:rsidRPr="009E03E3">
              <w:rPr>
                <w:color w:val="000000"/>
                <w:sz w:val="16"/>
                <w:szCs w:val="16"/>
              </w:rPr>
              <w:t>± 0,48</w:t>
            </w:r>
          </w:p>
        </w:tc>
      </w:tr>
    </w:tbl>
    <w:p w:rsidR="003911ED" w:rsidRDefault="003911ED" w:rsidP="003911ED">
      <w:pPr>
        <w:ind w:firstLine="284"/>
        <w:jc w:val="both"/>
        <w:rPr>
          <w:sz w:val="20"/>
          <w:szCs w:val="20"/>
        </w:rPr>
      </w:pP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По истечении одного месяца у животных повторно отобр</w:t>
      </w:r>
      <w:r w:rsidRPr="006D41EC">
        <w:rPr>
          <w:sz w:val="20"/>
          <w:szCs w:val="20"/>
        </w:rPr>
        <w:t>а</w:t>
      </w:r>
      <w:r w:rsidRPr="006D41EC">
        <w:rPr>
          <w:sz w:val="20"/>
          <w:szCs w:val="20"/>
        </w:rPr>
        <w:t>ли кровь для проведения исследований.</w:t>
      </w:r>
    </w:p>
    <w:p w:rsidR="003911ED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Результаты биохимических исследований, приведенных в таблице 2, указывают на тенденцию к увеличению общего белка в группе телят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получавшей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С</w:t>
      </w:r>
      <w:r w:rsidRPr="006D41EC">
        <w:rPr>
          <w:sz w:val="20"/>
          <w:szCs w:val="20"/>
        </w:rPr>
        <w:t>ел</w:t>
      </w:r>
      <w:r>
        <w:rPr>
          <w:sz w:val="20"/>
          <w:szCs w:val="20"/>
        </w:rPr>
        <w:t>е</w:t>
      </w:r>
      <w:r w:rsidRPr="006D41EC">
        <w:rPr>
          <w:sz w:val="20"/>
          <w:szCs w:val="20"/>
        </w:rPr>
        <w:t>нопиран</w:t>
      </w:r>
      <w:proofErr w:type="spellEnd"/>
      <w:r>
        <w:rPr>
          <w:sz w:val="20"/>
          <w:szCs w:val="20"/>
        </w:rPr>
        <w:t>»</w:t>
      </w:r>
      <w:r w:rsidRPr="006D41EC">
        <w:rPr>
          <w:sz w:val="20"/>
          <w:szCs w:val="20"/>
        </w:rPr>
        <w:t>. В кон</w:t>
      </w:r>
      <w:r>
        <w:rPr>
          <w:sz w:val="20"/>
          <w:szCs w:val="20"/>
        </w:rPr>
        <w:t>трольной и первой опытной группах</w:t>
      </w:r>
      <w:r w:rsidRPr="006D41EC">
        <w:rPr>
          <w:sz w:val="20"/>
          <w:szCs w:val="20"/>
        </w:rPr>
        <w:t xml:space="preserve"> была о</w:t>
      </w:r>
      <w:r>
        <w:rPr>
          <w:sz w:val="20"/>
          <w:szCs w:val="20"/>
        </w:rPr>
        <w:t xml:space="preserve">тмечена </w:t>
      </w:r>
      <w:proofErr w:type="spellStart"/>
      <w:r>
        <w:rPr>
          <w:sz w:val="20"/>
          <w:szCs w:val="20"/>
        </w:rPr>
        <w:t>гипопротеинемия</w:t>
      </w:r>
      <w:proofErr w:type="spellEnd"/>
      <w:r>
        <w:rPr>
          <w:sz w:val="20"/>
          <w:szCs w:val="20"/>
        </w:rPr>
        <w:t>. Однако</w:t>
      </w:r>
      <w:r w:rsidRPr="006D41EC">
        <w:rPr>
          <w:sz w:val="20"/>
          <w:szCs w:val="20"/>
        </w:rPr>
        <w:t xml:space="preserve"> данную </w:t>
      </w:r>
      <w:proofErr w:type="spellStart"/>
      <w:r w:rsidRPr="006D41EC">
        <w:rPr>
          <w:sz w:val="20"/>
          <w:szCs w:val="20"/>
        </w:rPr>
        <w:t>гипопротеинемию</w:t>
      </w:r>
      <w:proofErr w:type="spellEnd"/>
      <w:r w:rsidRPr="006D41EC">
        <w:rPr>
          <w:sz w:val="20"/>
          <w:szCs w:val="20"/>
        </w:rPr>
        <w:t xml:space="preserve">  можно считать относительной (физиологической), на это указывает сниженный гематокрит и нормальное </w:t>
      </w:r>
      <w:proofErr w:type="gramStart"/>
      <w:r w:rsidRPr="006D41EC">
        <w:rPr>
          <w:sz w:val="20"/>
          <w:szCs w:val="20"/>
        </w:rPr>
        <w:t>содерж</w:t>
      </w:r>
      <w:r>
        <w:rPr>
          <w:sz w:val="20"/>
          <w:szCs w:val="20"/>
        </w:rPr>
        <w:t>ание</w:t>
      </w:r>
      <w:proofErr w:type="gramEnd"/>
      <w:r>
        <w:rPr>
          <w:sz w:val="20"/>
          <w:szCs w:val="20"/>
        </w:rPr>
        <w:t xml:space="preserve"> и соотношение ал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буминовой </w:t>
      </w:r>
      <w:r w:rsidRPr="006D41EC">
        <w:rPr>
          <w:sz w:val="20"/>
          <w:szCs w:val="20"/>
        </w:rPr>
        <w:t xml:space="preserve">и глобулиновой фракций. </w:t>
      </w:r>
      <w:proofErr w:type="gramStart"/>
      <w:r w:rsidRPr="006D41EC">
        <w:rPr>
          <w:sz w:val="20"/>
          <w:szCs w:val="20"/>
        </w:rPr>
        <w:t>Относительная</w:t>
      </w:r>
      <w:proofErr w:type="gramEnd"/>
      <w:r w:rsidRPr="006D41EC">
        <w:rPr>
          <w:sz w:val="20"/>
          <w:szCs w:val="20"/>
        </w:rPr>
        <w:t xml:space="preserve"> </w:t>
      </w:r>
      <w:proofErr w:type="spellStart"/>
      <w:r w:rsidRPr="006D41EC">
        <w:rPr>
          <w:sz w:val="20"/>
          <w:szCs w:val="20"/>
        </w:rPr>
        <w:t>гипопротеинемия</w:t>
      </w:r>
      <w:proofErr w:type="spellEnd"/>
      <w:r w:rsidRPr="006D41EC">
        <w:rPr>
          <w:sz w:val="20"/>
          <w:szCs w:val="20"/>
        </w:rPr>
        <w:t xml:space="preserve"> является следствием большого потребления воды, повышенных физ</w:t>
      </w:r>
      <w:r w:rsidRPr="006D41EC">
        <w:rPr>
          <w:sz w:val="20"/>
          <w:szCs w:val="20"/>
        </w:rPr>
        <w:t>и</w:t>
      </w:r>
      <w:r>
        <w:rPr>
          <w:sz w:val="20"/>
          <w:szCs w:val="20"/>
        </w:rPr>
        <w:t>ческих нагрузок, усиленного потоотделения</w:t>
      </w:r>
      <w:r w:rsidRPr="006D41EC">
        <w:rPr>
          <w:sz w:val="20"/>
          <w:szCs w:val="20"/>
        </w:rPr>
        <w:t xml:space="preserve">. </w:t>
      </w:r>
    </w:p>
    <w:p w:rsidR="003911ED" w:rsidRPr="00F14B64" w:rsidRDefault="003911ED" w:rsidP="003911ED">
      <w:pPr>
        <w:spacing w:after="60"/>
        <w:ind w:firstLine="284"/>
        <w:jc w:val="both"/>
        <w:rPr>
          <w:sz w:val="20"/>
          <w:szCs w:val="20"/>
        </w:rPr>
      </w:pPr>
      <w:r w:rsidRPr="00F14B64">
        <w:rPr>
          <w:sz w:val="20"/>
          <w:szCs w:val="20"/>
        </w:rPr>
        <w:t xml:space="preserve">Таблица 2 – Биохимические показатели крови телят через один месяц применения </w:t>
      </w:r>
      <w:proofErr w:type="spellStart"/>
      <w:r w:rsidRPr="00F14B64">
        <w:rPr>
          <w:sz w:val="20"/>
          <w:szCs w:val="20"/>
        </w:rPr>
        <w:t>селе</w:t>
      </w:r>
      <w:r w:rsidRPr="00F14B64">
        <w:rPr>
          <w:sz w:val="20"/>
          <w:szCs w:val="20"/>
        </w:rPr>
        <w:t>н</w:t>
      </w:r>
      <w:r>
        <w:rPr>
          <w:sz w:val="20"/>
          <w:szCs w:val="20"/>
        </w:rPr>
        <w:t>содержащих</w:t>
      </w:r>
      <w:proofErr w:type="spellEnd"/>
      <w:r>
        <w:rPr>
          <w:sz w:val="20"/>
          <w:szCs w:val="20"/>
        </w:rPr>
        <w:t xml:space="preserve"> препаратов</w:t>
      </w:r>
    </w:p>
    <w:tbl>
      <w:tblPr>
        <w:tblW w:w="6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627"/>
        <w:gridCol w:w="540"/>
        <w:gridCol w:w="681"/>
        <w:gridCol w:w="782"/>
        <w:gridCol w:w="782"/>
        <w:gridCol w:w="620"/>
        <w:gridCol w:w="620"/>
        <w:gridCol w:w="620"/>
      </w:tblGrid>
      <w:tr w:rsidR="003911ED" w:rsidRPr="00F14B64" w:rsidTr="002E185D">
        <w:trPr>
          <w:cantSplit/>
          <w:trHeight w:val="1271"/>
        </w:trPr>
        <w:tc>
          <w:tcPr>
            <w:tcW w:w="1101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627" w:type="dxa"/>
            <w:textDirection w:val="btL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Общий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 xml:space="preserve"> белок, </w:t>
            </w:r>
            <w:proofErr w:type="gramStart"/>
            <w:r w:rsidRPr="00F14B6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F14B64">
              <w:rPr>
                <w:color w:val="000000"/>
                <w:sz w:val="16"/>
                <w:szCs w:val="16"/>
              </w:rPr>
              <w:t>/л</w:t>
            </w:r>
          </w:p>
        </w:tc>
        <w:tc>
          <w:tcPr>
            <w:tcW w:w="540" w:type="dxa"/>
            <w:textDirection w:val="btL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 xml:space="preserve">Альбумины, </w:t>
            </w:r>
            <w:proofErr w:type="gramStart"/>
            <w:r w:rsidRPr="00F14B6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F14B64">
              <w:rPr>
                <w:color w:val="000000"/>
                <w:sz w:val="16"/>
                <w:szCs w:val="16"/>
              </w:rPr>
              <w:t>/л</w:t>
            </w:r>
          </w:p>
        </w:tc>
        <w:tc>
          <w:tcPr>
            <w:tcW w:w="681" w:type="dxa"/>
            <w:textDirection w:val="btL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 xml:space="preserve">Глобулины, </w:t>
            </w:r>
            <w:proofErr w:type="gramStart"/>
            <w:r w:rsidRPr="00F14B6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F14B64">
              <w:rPr>
                <w:color w:val="000000"/>
                <w:sz w:val="16"/>
                <w:szCs w:val="16"/>
              </w:rPr>
              <w:t>/л</w:t>
            </w:r>
          </w:p>
        </w:tc>
        <w:tc>
          <w:tcPr>
            <w:tcW w:w="782" w:type="dxa"/>
            <w:textDirection w:val="btL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 xml:space="preserve">Билирубин общий, 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4B64">
              <w:rPr>
                <w:color w:val="000000"/>
                <w:sz w:val="16"/>
                <w:szCs w:val="16"/>
              </w:rPr>
              <w:t>мкмоль</w:t>
            </w:r>
            <w:proofErr w:type="spellEnd"/>
            <w:r w:rsidRPr="00F14B64">
              <w:rPr>
                <w:color w:val="000000"/>
                <w:sz w:val="16"/>
                <w:szCs w:val="16"/>
              </w:rPr>
              <w:t>/л</w:t>
            </w:r>
          </w:p>
        </w:tc>
        <w:tc>
          <w:tcPr>
            <w:tcW w:w="782" w:type="dxa"/>
            <w:textDirection w:val="btL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Глюкоза,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4B64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F14B64">
              <w:rPr>
                <w:color w:val="000000"/>
                <w:sz w:val="16"/>
                <w:szCs w:val="16"/>
              </w:rPr>
              <w:t>/л</w:t>
            </w:r>
          </w:p>
        </w:tc>
        <w:tc>
          <w:tcPr>
            <w:tcW w:w="620" w:type="dxa"/>
            <w:textDirection w:val="btL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Магний,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4B64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F14B64">
              <w:rPr>
                <w:color w:val="000000"/>
                <w:sz w:val="16"/>
                <w:szCs w:val="16"/>
              </w:rPr>
              <w:t>/л</w:t>
            </w:r>
          </w:p>
        </w:tc>
        <w:tc>
          <w:tcPr>
            <w:tcW w:w="620" w:type="dxa"/>
            <w:textDirection w:val="btL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Фосфор,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4B64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F14B64">
              <w:rPr>
                <w:color w:val="000000"/>
                <w:sz w:val="16"/>
                <w:szCs w:val="16"/>
              </w:rPr>
              <w:t>/л</w:t>
            </w:r>
          </w:p>
        </w:tc>
        <w:tc>
          <w:tcPr>
            <w:tcW w:w="620" w:type="dxa"/>
            <w:textDirection w:val="btL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Кальций,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left="28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4B64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F14B64">
              <w:rPr>
                <w:color w:val="000000"/>
                <w:sz w:val="16"/>
                <w:szCs w:val="16"/>
              </w:rPr>
              <w:t>/л</w:t>
            </w:r>
          </w:p>
        </w:tc>
      </w:tr>
      <w:tr w:rsidR="003911ED" w:rsidRPr="00F14B64" w:rsidTr="002E185D">
        <w:trPr>
          <w:trHeight w:val="387"/>
        </w:trPr>
        <w:tc>
          <w:tcPr>
            <w:tcW w:w="1101" w:type="dxa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Группа 1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(контроль)</w:t>
            </w:r>
          </w:p>
        </w:tc>
        <w:tc>
          <w:tcPr>
            <w:tcW w:w="627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67,83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4,29</w:t>
            </w:r>
          </w:p>
        </w:tc>
        <w:tc>
          <w:tcPr>
            <w:tcW w:w="54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34,97 ±1,62</w:t>
            </w:r>
          </w:p>
        </w:tc>
        <w:tc>
          <w:tcPr>
            <w:tcW w:w="681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32,85 ± 4,13</w:t>
            </w:r>
          </w:p>
        </w:tc>
        <w:tc>
          <w:tcPr>
            <w:tcW w:w="782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7,64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0,57</w:t>
            </w:r>
          </w:p>
        </w:tc>
        <w:tc>
          <w:tcPr>
            <w:tcW w:w="782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2,58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0,23</w:t>
            </w:r>
          </w:p>
        </w:tc>
        <w:tc>
          <w:tcPr>
            <w:tcW w:w="620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2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1,03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2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 xml:space="preserve">± </w:t>
            </w:r>
            <w:r>
              <w:rPr>
                <w:color w:val="000000"/>
                <w:sz w:val="16"/>
                <w:szCs w:val="16"/>
              </w:rPr>
              <w:t>0</w:t>
            </w:r>
            <w:r w:rsidRPr="00F14B64">
              <w:rPr>
                <w:color w:val="000000"/>
                <w:sz w:val="16"/>
                <w:szCs w:val="16"/>
              </w:rPr>
              <w:t>,03</w:t>
            </w:r>
          </w:p>
        </w:tc>
        <w:tc>
          <w:tcPr>
            <w:tcW w:w="620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2,03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0,18</w:t>
            </w:r>
          </w:p>
        </w:tc>
        <w:tc>
          <w:tcPr>
            <w:tcW w:w="620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1,51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0,11</w:t>
            </w:r>
          </w:p>
        </w:tc>
      </w:tr>
      <w:tr w:rsidR="003911ED" w:rsidRPr="00F14B64" w:rsidTr="002E185D">
        <w:trPr>
          <w:trHeight w:val="549"/>
        </w:trPr>
        <w:tc>
          <w:tcPr>
            <w:tcW w:w="1101" w:type="dxa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 xml:space="preserve">Опытная группа  1 </w:t>
            </w:r>
            <w:r w:rsidRPr="00F14B64">
              <w:rPr>
                <w:color w:val="000000"/>
                <w:sz w:val="16"/>
                <w:szCs w:val="16"/>
                <w:lang w:val="en-US"/>
              </w:rPr>
              <w:t>(Selenium yeast)</w:t>
            </w:r>
            <w:r w:rsidRPr="00F14B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68,1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1,14</w:t>
            </w:r>
          </w:p>
        </w:tc>
        <w:tc>
          <w:tcPr>
            <w:tcW w:w="54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35,4 ± 3,06</w:t>
            </w:r>
          </w:p>
        </w:tc>
        <w:tc>
          <w:tcPr>
            <w:tcW w:w="681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33,4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3,06</w:t>
            </w:r>
          </w:p>
        </w:tc>
        <w:tc>
          <w:tcPr>
            <w:tcW w:w="782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4,83</w:t>
            </w:r>
            <w:r w:rsidRPr="00F14B64">
              <w:rPr>
                <w:sz w:val="16"/>
                <w:szCs w:val="16"/>
              </w:rPr>
              <w:t>**</w:t>
            </w:r>
            <w:r w:rsidRPr="00F14B64">
              <w:rPr>
                <w:color w:val="000000"/>
                <w:sz w:val="16"/>
                <w:szCs w:val="16"/>
              </w:rPr>
              <w:t xml:space="preserve"> ± 0,62</w:t>
            </w:r>
          </w:p>
        </w:tc>
        <w:tc>
          <w:tcPr>
            <w:tcW w:w="782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1,01*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±0,08</w:t>
            </w:r>
          </w:p>
        </w:tc>
        <w:tc>
          <w:tcPr>
            <w:tcW w:w="620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2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0,78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2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0,15</w:t>
            </w:r>
          </w:p>
        </w:tc>
        <w:tc>
          <w:tcPr>
            <w:tcW w:w="62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2,13 ± 0,61</w:t>
            </w:r>
          </w:p>
        </w:tc>
        <w:tc>
          <w:tcPr>
            <w:tcW w:w="620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1,8</w:t>
            </w:r>
            <w:r w:rsidRPr="00F14B64">
              <w:rPr>
                <w:sz w:val="16"/>
                <w:szCs w:val="16"/>
              </w:rPr>
              <w:t>*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0,04</w:t>
            </w:r>
          </w:p>
        </w:tc>
      </w:tr>
      <w:tr w:rsidR="003911ED" w:rsidRPr="00F14B64" w:rsidTr="002E185D">
        <w:trPr>
          <w:trHeight w:val="347"/>
        </w:trPr>
        <w:tc>
          <w:tcPr>
            <w:tcW w:w="1101" w:type="dxa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% к контр</w:t>
            </w:r>
            <w:r w:rsidRPr="00F14B64">
              <w:rPr>
                <w:color w:val="000000"/>
                <w:sz w:val="16"/>
                <w:szCs w:val="16"/>
              </w:rPr>
              <w:t>о</w:t>
            </w:r>
            <w:r w:rsidRPr="00F14B64">
              <w:rPr>
                <w:color w:val="000000"/>
                <w:sz w:val="16"/>
                <w:szCs w:val="16"/>
              </w:rPr>
              <w:t>лю</w:t>
            </w:r>
          </w:p>
        </w:tc>
        <w:tc>
          <w:tcPr>
            <w:tcW w:w="627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  <w:lang w:val="en-US"/>
              </w:rPr>
              <w:t>93</w:t>
            </w:r>
            <w:r w:rsidRPr="00F14B64"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54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681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2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63,1</w:t>
            </w:r>
          </w:p>
        </w:tc>
        <w:tc>
          <w:tcPr>
            <w:tcW w:w="782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62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2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75,7</w:t>
            </w:r>
          </w:p>
        </w:tc>
        <w:tc>
          <w:tcPr>
            <w:tcW w:w="62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62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3911ED" w:rsidRPr="00F14B64" w:rsidTr="002E185D">
        <w:trPr>
          <w:trHeight w:val="461"/>
        </w:trPr>
        <w:tc>
          <w:tcPr>
            <w:tcW w:w="1101" w:type="dxa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Опытная группа  2 (</w:t>
            </w:r>
            <w:proofErr w:type="spellStart"/>
            <w:r w:rsidRPr="00F14B64">
              <w:rPr>
                <w:color w:val="000000"/>
                <w:sz w:val="16"/>
                <w:szCs w:val="16"/>
              </w:rPr>
              <w:t>селеноп</w:t>
            </w:r>
            <w:r w:rsidRPr="00F14B64">
              <w:rPr>
                <w:color w:val="000000"/>
                <w:sz w:val="16"/>
                <w:szCs w:val="16"/>
              </w:rPr>
              <w:t>и</w:t>
            </w:r>
            <w:r w:rsidRPr="00F14B64">
              <w:rPr>
                <w:color w:val="000000"/>
                <w:sz w:val="16"/>
                <w:szCs w:val="16"/>
              </w:rPr>
              <w:t>ран</w:t>
            </w:r>
            <w:proofErr w:type="spellEnd"/>
            <w:r w:rsidRPr="00F14B64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627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71,66</w:t>
            </w:r>
            <w:r w:rsidRPr="00F14B64">
              <w:rPr>
                <w:sz w:val="16"/>
                <w:szCs w:val="16"/>
              </w:rPr>
              <w:t>*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1,61</w:t>
            </w:r>
          </w:p>
        </w:tc>
        <w:tc>
          <w:tcPr>
            <w:tcW w:w="54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37,3 ± 1,13</w:t>
            </w:r>
          </w:p>
        </w:tc>
        <w:tc>
          <w:tcPr>
            <w:tcW w:w="681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34,33 ± 1,23</w:t>
            </w:r>
          </w:p>
        </w:tc>
        <w:tc>
          <w:tcPr>
            <w:tcW w:w="782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3,58</w:t>
            </w:r>
            <w:r w:rsidRPr="00F14B64">
              <w:rPr>
                <w:sz w:val="16"/>
                <w:szCs w:val="16"/>
              </w:rPr>
              <w:t>*</w:t>
            </w:r>
            <w:r w:rsidRPr="00F14B64">
              <w:rPr>
                <w:sz w:val="16"/>
                <w:szCs w:val="16"/>
                <w:vertAlign w:val="superscript"/>
              </w:rPr>
              <w:t>#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1,02</w:t>
            </w:r>
          </w:p>
        </w:tc>
        <w:tc>
          <w:tcPr>
            <w:tcW w:w="782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2,08</w:t>
            </w:r>
            <w:r w:rsidRPr="00F14B64">
              <w:rPr>
                <w:sz w:val="16"/>
                <w:szCs w:val="16"/>
              </w:rPr>
              <w:t>**</w:t>
            </w:r>
            <w:r w:rsidRPr="00F14B64">
              <w:rPr>
                <w:sz w:val="16"/>
                <w:szCs w:val="16"/>
                <w:vertAlign w:val="superscript"/>
              </w:rPr>
              <w:t>#</w:t>
            </w:r>
            <w:r w:rsidRPr="00F14B64">
              <w:rPr>
                <w:color w:val="000000"/>
                <w:sz w:val="16"/>
                <w:szCs w:val="16"/>
              </w:rPr>
              <w:t xml:space="preserve"> ± 0,17</w:t>
            </w:r>
          </w:p>
        </w:tc>
        <w:tc>
          <w:tcPr>
            <w:tcW w:w="620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2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0,93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2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0,08</w:t>
            </w:r>
          </w:p>
        </w:tc>
        <w:tc>
          <w:tcPr>
            <w:tcW w:w="620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2,23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0,18</w:t>
            </w:r>
          </w:p>
        </w:tc>
        <w:tc>
          <w:tcPr>
            <w:tcW w:w="620" w:type="dxa"/>
            <w:vAlign w:val="center"/>
          </w:tcPr>
          <w:p w:rsidR="003911ED" w:rsidRDefault="003911ED" w:rsidP="002E185D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1,78</w:t>
            </w:r>
          </w:p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± 0,64</w:t>
            </w:r>
          </w:p>
        </w:tc>
      </w:tr>
      <w:tr w:rsidR="003911ED" w:rsidRPr="00F14B64" w:rsidTr="002E185D">
        <w:trPr>
          <w:trHeight w:val="273"/>
        </w:trPr>
        <w:tc>
          <w:tcPr>
            <w:tcW w:w="1101" w:type="dxa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% к контр</w:t>
            </w:r>
            <w:r w:rsidRPr="00F14B64">
              <w:rPr>
                <w:color w:val="000000"/>
                <w:sz w:val="16"/>
                <w:szCs w:val="16"/>
              </w:rPr>
              <w:t>о</w:t>
            </w:r>
            <w:r w:rsidRPr="00F14B64">
              <w:rPr>
                <w:color w:val="000000"/>
                <w:sz w:val="16"/>
                <w:szCs w:val="16"/>
              </w:rPr>
              <w:t>лю</w:t>
            </w:r>
          </w:p>
        </w:tc>
        <w:tc>
          <w:tcPr>
            <w:tcW w:w="627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681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2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82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2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2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20" w:type="dxa"/>
            <w:vAlign w:val="center"/>
          </w:tcPr>
          <w:p w:rsidR="003911ED" w:rsidRPr="00F14B64" w:rsidRDefault="003911ED" w:rsidP="002E18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14B64">
              <w:rPr>
                <w:color w:val="000000"/>
                <w:sz w:val="16"/>
                <w:szCs w:val="16"/>
              </w:rPr>
              <w:t>118</w:t>
            </w:r>
          </w:p>
        </w:tc>
      </w:tr>
    </w:tbl>
    <w:p w:rsidR="003911ED" w:rsidRPr="009E03E3" w:rsidRDefault="003911ED" w:rsidP="003911ED">
      <w:pPr>
        <w:jc w:val="both"/>
        <w:rPr>
          <w:i/>
          <w:sz w:val="16"/>
          <w:szCs w:val="16"/>
        </w:rPr>
      </w:pPr>
      <w:r w:rsidRPr="009E03E3">
        <w:rPr>
          <w:i/>
          <w:sz w:val="16"/>
          <w:szCs w:val="16"/>
        </w:rPr>
        <w:lastRenderedPageBreak/>
        <w:t xml:space="preserve">Примечание: * - </w:t>
      </w:r>
      <w:proofErr w:type="spellStart"/>
      <w:proofErr w:type="gramStart"/>
      <w:r w:rsidRPr="009E03E3">
        <w:rPr>
          <w:i/>
          <w:sz w:val="16"/>
          <w:szCs w:val="16"/>
        </w:rPr>
        <w:t>р</w:t>
      </w:r>
      <w:proofErr w:type="spellEnd"/>
      <w:proofErr w:type="gramEnd"/>
      <w:r w:rsidRPr="009E03E3">
        <w:rPr>
          <w:i/>
          <w:sz w:val="16"/>
          <w:szCs w:val="16"/>
        </w:rPr>
        <w:t xml:space="preserve"> &lt; 0,05;  </w:t>
      </w:r>
      <w:r w:rsidRPr="009E03E3">
        <w:rPr>
          <w:sz w:val="16"/>
          <w:szCs w:val="16"/>
        </w:rPr>
        <w:t>** -</w:t>
      </w:r>
      <w:r w:rsidRPr="009E03E3">
        <w:rPr>
          <w:i/>
          <w:sz w:val="16"/>
          <w:szCs w:val="16"/>
        </w:rPr>
        <w:t xml:space="preserve"> </w:t>
      </w:r>
      <w:proofErr w:type="spellStart"/>
      <w:r w:rsidRPr="009E03E3">
        <w:rPr>
          <w:i/>
          <w:sz w:val="16"/>
          <w:szCs w:val="16"/>
        </w:rPr>
        <w:t>р</w:t>
      </w:r>
      <w:proofErr w:type="spellEnd"/>
      <w:r w:rsidRPr="009E03E3">
        <w:rPr>
          <w:i/>
          <w:sz w:val="16"/>
          <w:szCs w:val="16"/>
        </w:rPr>
        <w:t xml:space="preserve"> &lt; 0,01</w:t>
      </w:r>
      <w:r w:rsidRPr="009E03E3">
        <w:rPr>
          <w:sz w:val="16"/>
          <w:szCs w:val="16"/>
        </w:rPr>
        <w:t xml:space="preserve"> - </w:t>
      </w:r>
      <w:r w:rsidRPr="009E03E3">
        <w:rPr>
          <w:i/>
          <w:sz w:val="16"/>
          <w:szCs w:val="16"/>
        </w:rPr>
        <w:t xml:space="preserve"> относительно контроля.</w:t>
      </w:r>
    </w:p>
    <w:p w:rsidR="003911ED" w:rsidRDefault="003911ED" w:rsidP="003911ED">
      <w:pPr>
        <w:jc w:val="both"/>
        <w:rPr>
          <w:i/>
          <w:sz w:val="16"/>
          <w:szCs w:val="16"/>
        </w:rPr>
      </w:pPr>
      <w:r w:rsidRPr="009E03E3">
        <w:rPr>
          <w:i/>
          <w:sz w:val="16"/>
          <w:szCs w:val="16"/>
        </w:rPr>
        <w:t xml:space="preserve">                       # - </w:t>
      </w:r>
      <w:proofErr w:type="spellStart"/>
      <w:proofErr w:type="gramStart"/>
      <w:r w:rsidRPr="009E03E3">
        <w:rPr>
          <w:i/>
          <w:sz w:val="16"/>
          <w:szCs w:val="16"/>
        </w:rPr>
        <w:t>р</w:t>
      </w:r>
      <w:proofErr w:type="spellEnd"/>
      <w:proofErr w:type="gramEnd"/>
      <w:r w:rsidRPr="009E03E3">
        <w:rPr>
          <w:i/>
          <w:sz w:val="16"/>
          <w:szCs w:val="16"/>
        </w:rPr>
        <w:t xml:space="preserve"> &lt; 0,05 – относительно 2 –ой опытной группы.</w:t>
      </w:r>
    </w:p>
    <w:p w:rsidR="003911ED" w:rsidRPr="006D41EC" w:rsidRDefault="003911ED" w:rsidP="003911ED">
      <w:pPr>
        <w:spacing w:before="60"/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Важным результатом является падение билирубина в обеих опы</w:t>
      </w:r>
      <w:r w:rsidRPr="006D41EC">
        <w:rPr>
          <w:sz w:val="20"/>
          <w:szCs w:val="20"/>
        </w:rPr>
        <w:t>т</w:t>
      </w:r>
      <w:r w:rsidRPr="006D41EC">
        <w:rPr>
          <w:sz w:val="20"/>
          <w:szCs w:val="20"/>
        </w:rPr>
        <w:t xml:space="preserve">ных группах, что указывает на наличие </w:t>
      </w:r>
      <w:proofErr w:type="spellStart"/>
      <w:r w:rsidRPr="006D41EC">
        <w:rPr>
          <w:sz w:val="20"/>
          <w:szCs w:val="20"/>
        </w:rPr>
        <w:t>гепатопротекторных</w:t>
      </w:r>
      <w:proofErr w:type="spellEnd"/>
      <w:r w:rsidRPr="006D41EC">
        <w:rPr>
          <w:sz w:val="20"/>
          <w:szCs w:val="20"/>
        </w:rPr>
        <w:t xml:space="preserve"> свойств селена. Билирубин - желчный пигмент, образуется в клетках ретикул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 xml:space="preserve">эндотелиальной системы печени и селезенки при распаде гемоглобина, миоглобина. При поступлении с кровью в печень в </w:t>
      </w:r>
      <w:proofErr w:type="spellStart"/>
      <w:r w:rsidRPr="006D41EC">
        <w:rPr>
          <w:sz w:val="20"/>
          <w:szCs w:val="20"/>
        </w:rPr>
        <w:t>гепатоцитах</w:t>
      </w:r>
      <w:proofErr w:type="spellEnd"/>
      <w:r w:rsidRPr="006D41EC">
        <w:rPr>
          <w:sz w:val="20"/>
          <w:szCs w:val="20"/>
        </w:rPr>
        <w:t xml:space="preserve"> происходит обезвреживание его путем прис</w:t>
      </w:r>
      <w:r>
        <w:rPr>
          <w:sz w:val="20"/>
          <w:szCs w:val="20"/>
        </w:rPr>
        <w:t xml:space="preserve">оединения </w:t>
      </w:r>
      <w:proofErr w:type="spellStart"/>
      <w:r>
        <w:rPr>
          <w:sz w:val="20"/>
          <w:szCs w:val="20"/>
        </w:rPr>
        <w:t>глюкуроновой</w:t>
      </w:r>
      <w:proofErr w:type="spellEnd"/>
      <w:r>
        <w:rPr>
          <w:sz w:val="20"/>
          <w:szCs w:val="20"/>
        </w:rPr>
        <w:t xml:space="preserve"> кисл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ты. </w:t>
      </w:r>
      <w:r w:rsidRPr="006D41EC">
        <w:rPr>
          <w:sz w:val="20"/>
          <w:szCs w:val="20"/>
        </w:rPr>
        <w:t>Таким образом, увеличение билирубина отмечается при патологиях печени различной этиологии, при интоксикациях организма, усиле</w:t>
      </w:r>
      <w:r w:rsidRPr="006D41EC">
        <w:rPr>
          <w:sz w:val="20"/>
          <w:szCs w:val="20"/>
        </w:rPr>
        <w:t>н</w:t>
      </w:r>
      <w:r w:rsidRPr="006D41EC">
        <w:rPr>
          <w:sz w:val="20"/>
          <w:szCs w:val="20"/>
        </w:rPr>
        <w:t xml:space="preserve">ном гемолизе. 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 xml:space="preserve">Ярко выражено воздействие селена на </w:t>
      </w:r>
      <w:proofErr w:type="spellStart"/>
      <w:r w:rsidRPr="006D41EC">
        <w:rPr>
          <w:sz w:val="20"/>
          <w:szCs w:val="20"/>
        </w:rPr>
        <w:t>антиоксидантную</w:t>
      </w:r>
      <w:proofErr w:type="spellEnd"/>
      <w:r w:rsidRPr="006D41EC">
        <w:rPr>
          <w:sz w:val="20"/>
          <w:szCs w:val="20"/>
        </w:rPr>
        <w:t xml:space="preserve"> защиту о</w:t>
      </w:r>
      <w:r w:rsidRPr="006D41EC">
        <w:rPr>
          <w:sz w:val="20"/>
          <w:szCs w:val="20"/>
        </w:rPr>
        <w:t>р</w:t>
      </w:r>
      <w:r w:rsidRPr="006D41EC">
        <w:rPr>
          <w:sz w:val="20"/>
          <w:szCs w:val="20"/>
        </w:rPr>
        <w:t>ганизма, что подтверждается приведенными ниже да</w:t>
      </w:r>
      <w:r w:rsidRPr="006D41EC">
        <w:rPr>
          <w:sz w:val="20"/>
          <w:szCs w:val="20"/>
        </w:rPr>
        <w:t>н</w:t>
      </w:r>
      <w:r w:rsidRPr="006D41EC">
        <w:rPr>
          <w:sz w:val="20"/>
          <w:szCs w:val="20"/>
        </w:rPr>
        <w:t>ными.</w:t>
      </w:r>
    </w:p>
    <w:p w:rsidR="003911ED" w:rsidRPr="006D41EC" w:rsidRDefault="003911ED" w:rsidP="003911ED">
      <w:pPr>
        <w:ind w:left="283" w:firstLine="708"/>
        <w:jc w:val="both"/>
        <w:rPr>
          <w:sz w:val="20"/>
          <w:szCs w:val="20"/>
        </w:rPr>
      </w:pPr>
    </w:p>
    <w:tbl>
      <w:tblPr>
        <w:tblW w:w="6163" w:type="dxa"/>
        <w:jc w:val="center"/>
        <w:tblInd w:w="324" w:type="dxa"/>
        <w:tblLayout w:type="fixed"/>
        <w:tblLook w:val="04A0"/>
      </w:tblPr>
      <w:tblGrid>
        <w:gridCol w:w="3186"/>
        <w:gridCol w:w="2977"/>
      </w:tblGrid>
      <w:tr w:rsidR="003911ED" w:rsidRPr="004B0DC3" w:rsidTr="002E185D">
        <w:trPr>
          <w:trHeight w:val="2887"/>
          <w:jc w:val="center"/>
        </w:trPr>
        <w:tc>
          <w:tcPr>
            <w:tcW w:w="3186" w:type="dxa"/>
          </w:tcPr>
          <w:p w:rsidR="003911ED" w:rsidRPr="004B0DC3" w:rsidRDefault="003911ED" w:rsidP="002E185D">
            <w:pPr>
              <w:ind w:left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93756" cy="1792437"/>
                  <wp:effectExtent l="4516" t="3978" r="2258" b="0"/>
                  <wp:docPr id="4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11ED" w:rsidRPr="004B0DC3" w:rsidRDefault="003911ED" w:rsidP="002E185D">
            <w:pPr>
              <w:ind w:left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81809" cy="1792437"/>
                  <wp:effectExtent l="4217" t="3978" r="2109" b="0"/>
                  <wp:docPr id="47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3911ED" w:rsidRPr="004B0DC3" w:rsidTr="002E185D">
        <w:trPr>
          <w:trHeight w:val="1118"/>
          <w:jc w:val="center"/>
        </w:trPr>
        <w:tc>
          <w:tcPr>
            <w:tcW w:w="3186" w:type="dxa"/>
          </w:tcPr>
          <w:p w:rsidR="003911ED" w:rsidRPr="004B0DC3" w:rsidRDefault="003911ED" w:rsidP="002E185D">
            <w:pPr>
              <w:jc w:val="both"/>
              <w:rPr>
                <w:b/>
                <w:sz w:val="16"/>
                <w:szCs w:val="16"/>
              </w:rPr>
            </w:pPr>
            <w:r w:rsidRPr="004B0DC3">
              <w:rPr>
                <w:b/>
                <w:sz w:val="16"/>
                <w:szCs w:val="16"/>
              </w:rPr>
              <w:t xml:space="preserve">Рисунок 1 – Уровень восстановленного </w:t>
            </w:r>
            <w:proofErr w:type="spellStart"/>
            <w:r w:rsidRPr="004B0DC3">
              <w:rPr>
                <w:b/>
                <w:sz w:val="16"/>
                <w:szCs w:val="16"/>
              </w:rPr>
              <w:t>глутатиона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C13990">
              <w:rPr>
                <w:b/>
                <w:sz w:val="16"/>
                <w:szCs w:val="16"/>
              </w:rPr>
              <w:t>(</w:t>
            </w:r>
            <w:proofErr w:type="spellStart"/>
            <w:r w:rsidRPr="00C13990">
              <w:rPr>
                <w:b/>
                <w:color w:val="000000"/>
                <w:sz w:val="16"/>
                <w:szCs w:val="16"/>
              </w:rPr>
              <w:t>ммоль</w:t>
            </w:r>
            <w:proofErr w:type="spellEnd"/>
            <w:r w:rsidRPr="00C13990">
              <w:rPr>
                <w:b/>
                <w:color w:val="000000"/>
                <w:sz w:val="16"/>
                <w:szCs w:val="16"/>
              </w:rPr>
              <w:t>/л</w:t>
            </w:r>
            <w:r w:rsidRPr="00C13990">
              <w:rPr>
                <w:b/>
                <w:sz w:val="16"/>
                <w:szCs w:val="16"/>
              </w:rPr>
              <w:t>)</w:t>
            </w:r>
            <w:r w:rsidRPr="004B0DC3">
              <w:rPr>
                <w:b/>
                <w:sz w:val="16"/>
                <w:szCs w:val="16"/>
              </w:rPr>
              <w:t xml:space="preserve"> в крови телят после назначения </w:t>
            </w:r>
            <w:proofErr w:type="spellStart"/>
            <w:r w:rsidRPr="004B0DC3">
              <w:rPr>
                <w:b/>
                <w:sz w:val="16"/>
                <w:szCs w:val="16"/>
              </w:rPr>
              <w:t>селенсодержащих</w:t>
            </w:r>
            <w:proofErr w:type="spellEnd"/>
            <w:r w:rsidRPr="004B0DC3">
              <w:rPr>
                <w:b/>
                <w:sz w:val="16"/>
                <w:szCs w:val="16"/>
              </w:rPr>
              <w:t xml:space="preserve"> препаратов (с кормом, 1 месяц 250 мкг чистого селена/</w:t>
            </w:r>
            <w:proofErr w:type="gramStart"/>
            <w:r w:rsidRPr="004B0DC3">
              <w:rPr>
                <w:b/>
                <w:sz w:val="16"/>
                <w:szCs w:val="16"/>
              </w:rPr>
              <w:t>кг</w:t>
            </w:r>
            <w:proofErr w:type="gramEnd"/>
            <w:r w:rsidRPr="004B0DC3">
              <w:rPr>
                <w:b/>
                <w:sz w:val="16"/>
                <w:szCs w:val="16"/>
              </w:rPr>
              <w:t xml:space="preserve"> корма)</w:t>
            </w:r>
          </w:p>
        </w:tc>
        <w:tc>
          <w:tcPr>
            <w:tcW w:w="2977" w:type="dxa"/>
          </w:tcPr>
          <w:p w:rsidR="003911ED" w:rsidRPr="004B0DC3" w:rsidRDefault="003911ED" w:rsidP="002E185D">
            <w:pPr>
              <w:jc w:val="both"/>
              <w:rPr>
                <w:b/>
                <w:sz w:val="16"/>
                <w:szCs w:val="16"/>
              </w:rPr>
            </w:pPr>
            <w:r w:rsidRPr="004B0DC3">
              <w:rPr>
                <w:b/>
                <w:sz w:val="16"/>
                <w:szCs w:val="16"/>
              </w:rPr>
              <w:t xml:space="preserve">Рисунок 2 – Уровень </w:t>
            </w:r>
            <w:proofErr w:type="spellStart"/>
            <w:r w:rsidRPr="004B0DC3">
              <w:rPr>
                <w:b/>
                <w:sz w:val="16"/>
                <w:szCs w:val="16"/>
              </w:rPr>
              <w:t>малонового</w:t>
            </w:r>
            <w:proofErr w:type="spellEnd"/>
            <w:r w:rsidRPr="004B0DC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B0DC3">
              <w:rPr>
                <w:b/>
                <w:sz w:val="16"/>
                <w:szCs w:val="16"/>
              </w:rPr>
              <w:t>диальдегида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1A04DD">
              <w:rPr>
                <w:b/>
                <w:color w:val="000000"/>
                <w:sz w:val="16"/>
                <w:szCs w:val="16"/>
              </w:rPr>
              <w:t>мкмоль</w:t>
            </w:r>
            <w:proofErr w:type="spellEnd"/>
            <w:r w:rsidRPr="001A04DD">
              <w:rPr>
                <w:b/>
                <w:color w:val="000000"/>
                <w:sz w:val="16"/>
                <w:szCs w:val="16"/>
              </w:rPr>
              <w:t>/л)</w:t>
            </w:r>
            <w:r w:rsidRPr="001A04DD">
              <w:rPr>
                <w:b/>
                <w:sz w:val="16"/>
                <w:szCs w:val="16"/>
              </w:rPr>
              <w:t xml:space="preserve"> </w:t>
            </w:r>
            <w:r w:rsidRPr="004B0DC3">
              <w:rPr>
                <w:b/>
                <w:sz w:val="16"/>
                <w:szCs w:val="16"/>
              </w:rPr>
              <w:t xml:space="preserve">в крови телят после назначения </w:t>
            </w:r>
            <w:proofErr w:type="spellStart"/>
            <w:r w:rsidRPr="004B0DC3">
              <w:rPr>
                <w:b/>
                <w:sz w:val="16"/>
                <w:szCs w:val="16"/>
              </w:rPr>
              <w:t>селенсодерж</w:t>
            </w:r>
            <w:r w:rsidRPr="004B0DC3">
              <w:rPr>
                <w:b/>
                <w:sz w:val="16"/>
                <w:szCs w:val="16"/>
              </w:rPr>
              <w:t>а</w:t>
            </w:r>
            <w:r w:rsidRPr="004B0DC3">
              <w:rPr>
                <w:b/>
                <w:sz w:val="16"/>
                <w:szCs w:val="16"/>
              </w:rPr>
              <w:t>щих</w:t>
            </w:r>
            <w:proofErr w:type="spellEnd"/>
            <w:r w:rsidRPr="004B0DC3">
              <w:rPr>
                <w:b/>
                <w:sz w:val="16"/>
                <w:szCs w:val="16"/>
              </w:rPr>
              <w:t xml:space="preserve"> препаратов (с кормом, 1 месяц 250 мкг чистого селена/</w:t>
            </w:r>
            <w:proofErr w:type="gramStart"/>
            <w:r w:rsidRPr="004B0DC3">
              <w:rPr>
                <w:b/>
                <w:sz w:val="16"/>
                <w:szCs w:val="16"/>
              </w:rPr>
              <w:t>кг</w:t>
            </w:r>
            <w:proofErr w:type="gramEnd"/>
            <w:r w:rsidRPr="004B0DC3">
              <w:rPr>
                <w:b/>
                <w:sz w:val="16"/>
                <w:szCs w:val="16"/>
              </w:rPr>
              <w:t xml:space="preserve"> корма)</w:t>
            </w:r>
          </w:p>
        </w:tc>
      </w:tr>
    </w:tbl>
    <w:p w:rsidR="003911ED" w:rsidRPr="00696C08" w:rsidRDefault="003911ED" w:rsidP="003911ED">
      <w:pPr>
        <w:ind w:left="283"/>
        <w:jc w:val="both"/>
        <w:rPr>
          <w:i/>
          <w:sz w:val="16"/>
          <w:szCs w:val="16"/>
        </w:rPr>
      </w:pPr>
      <w:r w:rsidRPr="00696C08">
        <w:rPr>
          <w:i/>
          <w:sz w:val="16"/>
          <w:szCs w:val="16"/>
        </w:rPr>
        <w:t xml:space="preserve">Примечание: * - </w:t>
      </w:r>
      <w:proofErr w:type="spellStart"/>
      <w:proofErr w:type="gramStart"/>
      <w:r w:rsidRPr="00696C08">
        <w:rPr>
          <w:i/>
          <w:sz w:val="16"/>
          <w:szCs w:val="16"/>
        </w:rPr>
        <w:t>р</w:t>
      </w:r>
      <w:proofErr w:type="spellEnd"/>
      <w:proofErr w:type="gramEnd"/>
      <w:r w:rsidRPr="00696C08">
        <w:rPr>
          <w:i/>
          <w:sz w:val="16"/>
          <w:szCs w:val="16"/>
        </w:rPr>
        <w:t xml:space="preserve"> &lt; 0,05;  </w:t>
      </w:r>
      <w:r w:rsidRPr="00696C08">
        <w:rPr>
          <w:sz w:val="16"/>
          <w:szCs w:val="16"/>
        </w:rPr>
        <w:t>** -</w:t>
      </w:r>
      <w:r w:rsidRPr="00696C08">
        <w:rPr>
          <w:i/>
          <w:sz w:val="16"/>
          <w:szCs w:val="16"/>
        </w:rPr>
        <w:t xml:space="preserve"> </w:t>
      </w:r>
      <w:proofErr w:type="spellStart"/>
      <w:r w:rsidRPr="00696C08">
        <w:rPr>
          <w:i/>
          <w:sz w:val="16"/>
          <w:szCs w:val="16"/>
        </w:rPr>
        <w:t>р</w:t>
      </w:r>
      <w:proofErr w:type="spellEnd"/>
      <w:r w:rsidRPr="00696C08">
        <w:rPr>
          <w:i/>
          <w:sz w:val="16"/>
          <w:szCs w:val="16"/>
        </w:rPr>
        <w:t xml:space="preserve"> &lt; 0,01</w:t>
      </w:r>
      <w:r w:rsidRPr="00696C08">
        <w:rPr>
          <w:sz w:val="16"/>
          <w:szCs w:val="16"/>
        </w:rPr>
        <w:t xml:space="preserve"> - </w:t>
      </w:r>
      <w:r w:rsidRPr="00696C08">
        <w:rPr>
          <w:i/>
          <w:sz w:val="16"/>
          <w:szCs w:val="16"/>
        </w:rPr>
        <w:t xml:space="preserve"> относительно контроля.</w:t>
      </w:r>
    </w:p>
    <w:p w:rsidR="003911ED" w:rsidRDefault="003911ED" w:rsidP="003911ED">
      <w:pPr>
        <w:ind w:left="283"/>
        <w:jc w:val="both"/>
        <w:rPr>
          <w:i/>
          <w:sz w:val="16"/>
          <w:szCs w:val="16"/>
        </w:rPr>
      </w:pPr>
      <w:r w:rsidRPr="00696C08">
        <w:rPr>
          <w:i/>
          <w:sz w:val="16"/>
          <w:szCs w:val="16"/>
        </w:rPr>
        <w:t xml:space="preserve"># - </w:t>
      </w:r>
      <w:proofErr w:type="spellStart"/>
      <w:proofErr w:type="gramStart"/>
      <w:r w:rsidRPr="00696C08">
        <w:rPr>
          <w:i/>
          <w:sz w:val="16"/>
          <w:szCs w:val="16"/>
        </w:rPr>
        <w:t>р</w:t>
      </w:r>
      <w:proofErr w:type="spellEnd"/>
      <w:proofErr w:type="gramEnd"/>
      <w:r w:rsidRPr="00696C08">
        <w:rPr>
          <w:i/>
          <w:sz w:val="16"/>
          <w:szCs w:val="16"/>
        </w:rPr>
        <w:t xml:space="preserve"> &lt; 0,05 – относительно 2 –ой опытной группы.</w:t>
      </w:r>
    </w:p>
    <w:p w:rsidR="003911ED" w:rsidRPr="006D41EC" w:rsidRDefault="003911ED" w:rsidP="003911ED">
      <w:pPr>
        <w:spacing w:before="60"/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>Как видно из рисунка</w:t>
      </w:r>
      <w:r>
        <w:rPr>
          <w:sz w:val="20"/>
          <w:szCs w:val="20"/>
        </w:rPr>
        <w:t xml:space="preserve"> 1 и 2,</w:t>
      </w:r>
      <w:r w:rsidRPr="006D41EC">
        <w:rPr>
          <w:sz w:val="20"/>
          <w:szCs w:val="20"/>
        </w:rPr>
        <w:t xml:space="preserve"> уровень восстановленного </w:t>
      </w:r>
      <w:proofErr w:type="spellStart"/>
      <w:r w:rsidRPr="006D41EC">
        <w:rPr>
          <w:sz w:val="20"/>
          <w:szCs w:val="20"/>
        </w:rPr>
        <w:t>глутатиона</w:t>
      </w:r>
      <w:proofErr w:type="spellEnd"/>
      <w:r w:rsidRPr="006D41EC">
        <w:rPr>
          <w:sz w:val="20"/>
          <w:szCs w:val="20"/>
        </w:rPr>
        <w:t xml:space="preserve"> достоверно возрос во второй опытной группе на 36%. Содержание к</w:t>
      </w:r>
      <w:r w:rsidRPr="006D41EC">
        <w:rPr>
          <w:sz w:val="20"/>
          <w:szCs w:val="20"/>
        </w:rPr>
        <w:t>о</w:t>
      </w:r>
      <w:r w:rsidRPr="006D41EC">
        <w:rPr>
          <w:sz w:val="20"/>
          <w:szCs w:val="20"/>
        </w:rPr>
        <w:t>нечных продуктов перекисного окисления липидов снизилось, при этом в первой опытной группе относительно ко</w:t>
      </w:r>
      <w:r w:rsidRPr="006D41EC">
        <w:rPr>
          <w:sz w:val="20"/>
          <w:szCs w:val="20"/>
        </w:rPr>
        <w:t>н</w:t>
      </w:r>
      <w:r w:rsidRPr="006D41EC">
        <w:rPr>
          <w:sz w:val="20"/>
          <w:szCs w:val="20"/>
        </w:rPr>
        <w:t xml:space="preserve">троля на 14%, а во второй на 45% соответственно. Значительно изменилась активность </w:t>
      </w:r>
      <w:proofErr w:type="spellStart"/>
      <w:r w:rsidRPr="006D41EC">
        <w:rPr>
          <w:sz w:val="20"/>
          <w:szCs w:val="20"/>
        </w:rPr>
        <w:t>глутатионпероксидазы</w:t>
      </w:r>
      <w:proofErr w:type="spellEnd"/>
      <w:r>
        <w:rPr>
          <w:sz w:val="20"/>
          <w:szCs w:val="20"/>
        </w:rPr>
        <w:t xml:space="preserve"> (рисунок 3)</w:t>
      </w:r>
      <w:r w:rsidRPr="006D41EC">
        <w:rPr>
          <w:sz w:val="20"/>
          <w:szCs w:val="20"/>
        </w:rPr>
        <w:t>: в первой группе она во</w:t>
      </w:r>
      <w:r w:rsidRPr="006D41EC">
        <w:rPr>
          <w:sz w:val="20"/>
          <w:szCs w:val="20"/>
        </w:rPr>
        <w:t>з</w:t>
      </w:r>
      <w:r w:rsidRPr="006D41EC">
        <w:rPr>
          <w:sz w:val="20"/>
          <w:szCs w:val="20"/>
        </w:rPr>
        <w:t xml:space="preserve">росла с </w:t>
      </w:r>
      <w:r w:rsidRPr="006D41EC">
        <w:rPr>
          <w:color w:val="000000"/>
          <w:sz w:val="20"/>
          <w:szCs w:val="20"/>
        </w:rPr>
        <w:t xml:space="preserve">4,98 ± 0,49 до </w:t>
      </w:r>
      <w:r w:rsidRPr="006D41EC">
        <w:rPr>
          <w:sz w:val="20"/>
          <w:szCs w:val="20"/>
        </w:rPr>
        <w:t>9,49</w:t>
      </w:r>
      <w:r w:rsidRPr="006D41EC">
        <w:rPr>
          <w:color w:val="000000"/>
          <w:sz w:val="20"/>
          <w:szCs w:val="20"/>
        </w:rPr>
        <w:t xml:space="preserve"> ± 0,61, а во второй до 10,92 ± 0,71</w:t>
      </w:r>
      <w:r w:rsidRPr="006D41EC">
        <w:rPr>
          <w:sz w:val="20"/>
          <w:szCs w:val="20"/>
        </w:rPr>
        <w:t xml:space="preserve"> </w:t>
      </w:r>
      <w:proofErr w:type="spellStart"/>
      <w:r w:rsidRPr="006D41EC">
        <w:rPr>
          <w:color w:val="000000"/>
          <w:sz w:val="20"/>
          <w:szCs w:val="20"/>
        </w:rPr>
        <w:t>нмоль</w:t>
      </w:r>
      <w:proofErr w:type="spellEnd"/>
      <w:r w:rsidRPr="006D41EC">
        <w:rPr>
          <w:color w:val="000000"/>
          <w:sz w:val="20"/>
          <w:szCs w:val="20"/>
        </w:rPr>
        <w:t>/мин.л.</w:t>
      </w:r>
      <w:r>
        <w:rPr>
          <w:color w:val="000000"/>
          <w:sz w:val="20"/>
          <w:szCs w:val="20"/>
        </w:rPr>
        <w:t xml:space="preserve"> А</w:t>
      </w:r>
      <w:r w:rsidRPr="006D41EC">
        <w:rPr>
          <w:color w:val="000000"/>
          <w:sz w:val="20"/>
          <w:szCs w:val="20"/>
        </w:rPr>
        <w:t>к</w:t>
      </w:r>
      <w:r w:rsidRPr="006D41EC">
        <w:rPr>
          <w:color w:val="000000"/>
          <w:sz w:val="20"/>
          <w:szCs w:val="20"/>
        </w:rPr>
        <w:t>тивность каталазы крови</w:t>
      </w:r>
      <w:r>
        <w:rPr>
          <w:color w:val="000000"/>
          <w:sz w:val="20"/>
          <w:szCs w:val="20"/>
        </w:rPr>
        <w:t xml:space="preserve"> (рисунок 4),</w:t>
      </w:r>
      <w:r w:rsidRPr="006D41EC">
        <w:rPr>
          <w:color w:val="000000"/>
          <w:sz w:val="20"/>
          <w:szCs w:val="20"/>
        </w:rPr>
        <w:t xml:space="preserve"> напротив</w:t>
      </w:r>
      <w:r>
        <w:rPr>
          <w:color w:val="000000"/>
          <w:sz w:val="20"/>
          <w:szCs w:val="20"/>
        </w:rPr>
        <w:t>,</w:t>
      </w:r>
      <w:r w:rsidRPr="006D41EC">
        <w:rPr>
          <w:color w:val="000000"/>
          <w:sz w:val="20"/>
          <w:szCs w:val="20"/>
        </w:rPr>
        <w:t xml:space="preserve"> имела тенденцию к снижению, что может являться следствием снижения интенсивности перекисного окисления липидов.</w:t>
      </w:r>
      <w:r w:rsidRPr="006D41EC">
        <w:rPr>
          <w:sz w:val="20"/>
          <w:szCs w:val="20"/>
        </w:rPr>
        <w:t xml:space="preserve"> Нарушение равновесия в сторону и</w:t>
      </w:r>
      <w:r w:rsidRPr="006D41EC">
        <w:rPr>
          <w:sz w:val="20"/>
          <w:szCs w:val="20"/>
        </w:rPr>
        <w:t>з</w:t>
      </w:r>
      <w:r w:rsidRPr="006D41EC">
        <w:rPr>
          <w:sz w:val="20"/>
          <w:szCs w:val="20"/>
        </w:rPr>
        <w:t>быточного образования свободных р</w:t>
      </w:r>
      <w:r>
        <w:rPr>
          <w:sz w:val="20"/>
          <w:szCs w:val="20"/>
        </w:rPr>
        <w:t xml:space="preserve">адикалов связывают с ускоренным </w:t>
      </w:r>
      <w:r w:rsidRPr="006D41EC">
        <w:rPr>
          <w:sz w:val="20"/>
          <w:szCs w:val="20"/>
        </w:rPr>
        <w:t>старением клеток, воспалительными процессами, стрессам</w:t>
      </w:r>
      <w:r>
        <w:rPr>
          <w:sz w:val="20"/>
          <w:szCs w:val="20"/>
        </w:rPr>
        <w:t xml:space="preserve">и. </w:t>
      </w:r>
      <w:r w:rsidRPr="006D41EC">
        <w:rPr>
          <w:sz w:val="20"/>
          <w:szCs w:val="20"/>
        </w:rPr>
        <w:t>Стабил</w:t>
      </w:r>
      <w:r w:rsidRPr="006D41EC">
        <w:rPr>
          <w:sz w:val="20"/>
          <w:szCs w:val="20"/>
        </w:rPr>
        <w:t>ь</w:t>
      </w:r>
      <w:r w:rsidRPr="006D41EC">
        <w:rPr>
          <w:sz w:val="20"/>
          <w:szCs w:val="20"/>
        </w:rPr>
        <w:t>ная концентрация продуктов перекисного окисления липидов, находящаяся в рамках нормальной, свойственна здоровому орг</w:t>
      </w:r>
      <w:r w:rsidRPr="006D41EC">
        <w:rPr>
          <w:sz w:val="20"/>
          <w:szCs w:val="20"/>
        </w:rPr>
        <w:t>а</w:t>
      </w:r>
      <w:r w:rsidRPr="006D41EC">
        <w:rPr>
          <w:sz w:val="20"/>
          <w:szCs w:val="20"/>
        </w:rPr>
        <w:t xml:space="preserve">низму. </w:t>
      </w:r>
    </w:p>
    <w:tbl>
      <w:tblPr>
        <w:tblW w:w="6183" w:type="dxa"/>
        <w:jc w:val="center"/>
        <w:tblInd w:w="466" w:type="dxa"/>
        <w:tblLook w:val="04A0"/>
      </w:tblPr>
      <w:tblGrid>
        <w:gridCol w:w="3309"/>
        <w:gridCol w:w="2874"/>
      </w:tblGrid>
      <w:tr w:rsidR="003911ED" w:rsidRPr="004B0DC3" w:rsidTr="002E185D">
        <w:trPr>
          <w:jc w:val="center"/>
        </w:trPr>
        <w:tc>
          <w:tcPr>
            <w:tcW w:w="3312" w:type="dxa"/>
          </w:tcPr>
          <w:p w:rsidR="003911ED" w:rsidRPr="004B0DC3" w:rsidRDefault="003911ED" w:rsidP="002E185D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73448" cy="1680924"/>
                  <wp:effectExtent l="4728" t="3731" r="2364" b="0"/>
                  <wp:docPr id="4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3911ED" w:rsidRPr="004B0DC3" w:rsidRDefault="003911ED" w:rsidP="002E185D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02118" cy="1680924"/>
                  <wp:effectExtent l="4005" t="3731" r="2002" b="0"/>
                  <wp:docPr id="49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911ED" w:rsidRPr="004B0DC3" w:rsidTr="002E185D">
        <w:trPr>
          <w:jc w:val="center"/>
        </w:trPr>
        <w:tc>
          <w:tcPr>
            <w:tcW w:w="3312" w:type="dxa"/>
          </w:tcPr>
          <w:p w:rsidR="003911ED" w:rsidRPr="004B0DC3" w:rsidRDefault="003911ED" w:rsidP="002E185D">
            <w:pPr>
              <w:ind w:left="28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Рисунок 3 </w:t>
            </w:r>
            <w:r w:rsidRPr="004B0DC3">
              <w:rPr>
                <w:b/>
                <w:sz w:val="16"/>
                <w:szCs w:val="16"/>
              </w:rPr>
              <w:t xml:space="preserve">– Уровень </w:t>
            </w:r>
            <w:proofErr w:type="spellStart"/>
            <w:r w:rsidRPr="004B0DC3">
              <w:rPr>
                <w:b/>
                <w:sz w:val="16"/>
                <w:szCs w:val="16"/>
              </w:rPr>
              <w:t>глутатионперо</w:t>
            </w:r>
            <w:r w:rsidRPr="004B0DC3">
              <w:rPr>
                <w:b/>
                <w:sz w:val="16"/>
                <w:szCs w:val="16"/>
              </w:rPr>
              <w:t>к</w:t>
            </w:r>
            <w:r w:rsidRPr="004B0DC3">
              <w:rPr>
                <w:b/>
                <w:sz w:val="16"/>
                <w:szCs w:val="16"/>
              </w:rPr>
              <w:t>сидазы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A04DD">
              <w:rPr>
                <w:b/>
                <w:sz w:val="16"/>
                <w:szCs w:val="16"/>
              </w:rPr>
              <w:t>(</w:t>
            </w:r>
            <w:proofErr w:type="spellStart"/>
            <w:r w:rsidRPr="001A04DD">
              <w:rPr>
                <w:b/>
                <w:color w:val="000000"/>
                <w:sz w:val="16"/>
                <w:szCs w:val="16"/>
              </w:rPr>
              <w:t>нмоль</w:t>
            </w:r>
            <w:proofErr w:type="spellEnd"/>
            <w:r w:rsidRPr="001A04DD">
              <w:rPr>
                <w:b/>
                <w:color w:val="000000"/>
                <w:sz w:val="16"/>
                <w:szCs w:val="16"/>
              </w:rPr>
              <w:t>/мин.л.)</w:t>
            </w:r>
            <w:r w:rsidRPr="004B0DC3">
              <w:rPr>
                <w:b/>
                <w:sz w:val="16"/>
                <w:szCs w:val="16"/>
              </w:rPr>
              <w:t xml:space="preserve"> в крови телят после назначения </w:t>
            </w:r>
            <w:proofErr w:type="spellStart"/>
            <w:r w:rsidRPr="004B0DC3">
              <w:rPr>
                <w:b/>
                <w:sz w:val="16"/>
                <w:szCs w:val="16"/>
              </w:rPr>
              <w:t>селенсодержащих</w:t>
            </w:r>
            <w:proofErr w:type="spellEnd"/>
            <w:r w:rsidRPr="004B0DC3">
              <w:rPr>
                <w:b/>
                <w:sz w:val="16"/>
                <w:szCs w:val="16"/>
              </w:rPr>
              <w:t xml:space="preserve"> препаратов (с кормом, 1 месяц 250 мкг чистого селена/</w:t>
            </w:r>
            <w:proofErr w:type="gramStart"/>
            <w:r w:rsidRPr="004B0DC3">
              <w:rPr>
                <w:b/>
                <w:sz w:val="16"/>
                <w:szCs w:val="16"/>
              </w:rPr>
              <w:t>кг</w:t>
            </w:r>
            <w:proofErr w:type="gramEnd"/>
            <w:r w:rsidRPr="004B0DC3">
              <w:rPr>
                <w:b/>
                <w:sz w:val="16"/>
                <w:szCs w:val="16"/>
              </w:rPr>
              <w:t xml:space="preserve"> корма)</w:t>
            </w:r>
          </w:p>
        </w:tc>
        <w:tc>
          <w:tcPr>
            <w:tcW w:w="2871" w:type="dxa"/>
          </w:tcPr>
          <w:p w:rsidR="003911ED" w:rsidRPr="004B0DC3" w:rsidRDefault="003911ED" w:rsidP="002E185D">
            <w:pPr>
              <w:ind w:left="283"/>
              <w:jc w:val="both"/>
              <w:rPr>
                <w:sz w:val="16"/>
                <w:szCs w:val="16"/>
              </w:rPr>
            </w:pPr>
            <w:r w:rsidRPr="004B0DC3">
              <w:rPr>
                <w:b/>
                <w:sz w:val="16"/>
                <w:szCs w:val="16"/>
              </w:rPr>
              <w:t>Рисунок 4 – Уровень каталазы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1A04DD">
              <w:rPr>
                <w:b/>
                <w:color w:val="000000"/>
                <w:sz w:val="16"/>
                <w:szCs w:val="16"/>
              </w:rPr>
              <w:t>нмоль</w:t>
            </w:r>
            <w:proofErr w:type="spellEnd"/>
            <w:r w:rsidRPr="001A04DD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>мин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</w:t>
            </w:r>
            <w:r w:rsidRPr="001A04DD">
              <w:rPr>
                <w:b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  <w:r w:rsidRPr="004B0DC3">
              <w:rPr>
                <w:b/>
                <w:sz w:val="16"/>
                <w:szCs w:val="16"/>
              </w:rPr>
              <w:t xml:space="preserve"> в крови телят после назначения </w:t>
            </w:r>
            <w:proofErr w:type="spellStart"/>
            <w:r w:rsidRPr="004B0DC3">
              <w:rPr>
                <w:b/>
                <w:sz w:val="16"/>
                <w:szCs w:val="16"/>
              </w:rPr>
              <w:t>селенсодерж</w:t>
            </w:r>
            <w:r w:rsidRPr="004B0DC3">
              <w:rPr>
                <w:b/>
                <w:sz w:val="16"/>
                <w:szCs w:val="16"/>
              </w:rPr>
              <w:t>а</w:t>
            </w:r>
            <w:r w:rsidRPr="004B0DC3">
              <w:rPr>
                <w:b/>
                <w:sz w:val="16"/>
                <w:szCs w:val="16"/>
              </w:rPr>
              <w:t>щих</w:t>
            </w:r>
            <w:proofErr w:type="spellEnd"/>
            <w:r w:rsidRPr="004B0DC3">
              <w:rPr>
                <w:b/>
                <w:sz w:val="16"/>
                <w:szCs w:val="16"/>
              </w:rPr>
              <w:t xml:space="preserve"> препаратов (с кормом, 1 месяц 250 мкг чистого селена/кг корма)</w:t>
            </w:r>
          </w:p>
        </w:tc>
      </w:tr>
    </w:tbl>
    <w:p w:rsidR="003911ED" w:rsidRPr="004B0DC3" w:rsidRDefault="003911ED" w:rsidP="003911ED">
      <w:pPr>
        <w:jc w:val="both"/>
        <w:rPr>
          <w:i/>
          <w:sz w:val="16"/>
          <w:szCs w:val="16"/>
        </w:rPr>
      </w:pPr>
      <w:r w:rsidRPr="004B0DC3">
        <w:rPr>
          <w:i/>
          <w:sz w:val="16"/>
          <w:szCs w:val="16"/>
        </w:rPr>
        <w:t xml:space="preserve">Примечание: * - </w:t>
      </w:r>
      <w:proofErr w:type="spellStart"/>
      <w:proofErr w:type="gramStart"/>
      <w:r w:rsidRPr="004B0DC3">
        <w:rPr>
          <w:i/>
          <w:sz w:val="16"/>
          <w:szCs w:val="16"/>
        </w:rPr>
        <w:t>р</w:t>
      </w:r>
      <w:proofErr w:type="spellEnd"/>
      <w:proofErr w:type="gramEnd"/>
      <w:r w:rsidRPr="004B0DC3">
        <w:rPr>
          <w:i/>
          <w:sz w:val="16"/>
          <w:szCs w:val="16"/>
        </w:rPr>
        <w:t xml:space="preserve"> &lt; 0,05;  </w:t>
      </w:r>
      <w:r w:rsidRPr="004B0DC3">
        <w:rPr>
          <w:sz w:val="16"/>
          <w:szCs w:val="16"/>
        </w:rPr>
        <w:t>** -</w:t>
      </w:r>
      <w:r w:rsidRPr="004B0DC3">
        <w:rPr>
          <w:i/>
          <w:sz w:val="16"/>
          <w:szCs w:val="16"/>
        </w:rPr>
        <w:t xml:space="preserve"> </w:t>
      </w:r>
      <w:proofErr w:type="spellStart"/>
      <w:r w:rsidRPr="004B0DC3">
        <w:rPr>
          <w:i/>
          <w:sz w:val="16"/>
          <w:szCs w:val="16"/>
        </w:rPr>
        <w:t>р</w:t>
      </w:r>
      <w:proofErr w:type="spellEnd"/>
      <w:r w:rsidRPr="004B0DC3">
        <w:rPr>
          <w:i/>
          <w:sz w:val="16"/>
          <w:szCs w:val="16"/>
        </w:rPr>
        <w:t xml:space="preserve"> &lt; 0,01</w:t>
      </w:r>
      <w:r w:rsidRPr="004B0DC3">
        <w:rPr>
          <w:sz w:val="16"/>
          <w:szCs w:val="16"/>
        </w:rPr>
        <w:t xml:space="preserve"> - </w:t>
      </w:r>
      <w:r w:rsidRPr="004B0DC3">
        <w:rPr>
          <w:i/>
          <w:sz w:val="16"/>
          <w:szCs w:val="16"/>
        </w:rPr>
        <w:t xml:space="preserve"> относительно контроля.</w:t>
      </w:r>
    </w:p>
    <w:p w:rsidR="003911ED" w:rsidRDefault="003911ED" w:rsidP="003911ED">
      <w:pPr>
        <w:jc w:val="both"/>
        <w:rPr>
          <w:i/>
          <w:sz w:val="16"/>
          <w:szCs w:val="16"/>
        </w:rPr>
      </w:pPr>
      <w:r w:rsidRPr="004B0DC3">
        <w:rPr>
          <w:i/>
          <w:sz w:val="16"/>
          <w:szCs w:val="16"/>
        </w:rPr>
        <w:t xml:space="preserve"># - </w:t>
      </w:r>
      <w:proofErr w:type="spellStart"/>
      <w:proofErr w:type="gramStart"/>
      <w:r w:rsidRPr="004B0DC3">
        <w:rPr>
          <w:i/>
          <w:sz w:val="16"/>
          <w:szCs w:val="16"/>
        </w:rPr>
        <w:t>р</w:t>
      </w:r>
      <w:proofErr w:type="spellEnd"/>
      <w:proofErr w:type="gramEnd"/>
      <w:r w:rsidRPr="004B0DC3">
        <w:rPr>
          <w:i/>
          <w:sz w:val="16"/>
          <w:szCs w:val="16"/>
        </w:rPr>
        <w:t xml:space="preserve"> &lt; 0,05 – относительно 2 –ой опытной группы.</w:t>
      </w:r>
    </w:p>
    <w:p w:rsidR="003911ED" w:rsidRPr="006D41EC" w:rsidRDefault="003911ED" w:rsidP="003911ED">
      <w:pPr>
        <w:spacing w:before="60"/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 xml:space="preserve">Увеличение </w:t>
      </w:r>
      <w:proofErr w:type="spellStart"/>
      <w:r w:rsidRPr="006D41EC">
        <w:rPr>
          <w:sz w:val="20"/>
          <w:szCs w:val="20"/>
        </w:rPr>
        <w:t>глутатиона</w:t>
      </w:r>
      <w:proofErr w:type="spellEnd"/>
      <w:r w:rsidRPr="006D41EC">
        <w:rPr>
          <w:sz w:val="20"/>
          <w:szCs w:val="20"/>
        </w:rPr>
        <w:t xml:space="preserve"> и </w:t>
      </w:r>
      <w:proofErr w:type="spellStart"/>
      <w:r w:rsidRPr="006D41EC">
        <w:rPr>
          <w:sz w:val="20"/>
          <w:szCs w:val="20"/>
        </w:rPr>
        <w:t>глутатионпероксидазы</w:t>
      </w:r>
      <w:proofErr w:type="spellEnd"/>
      <w:r w:rsidRPr="006D41EC">
        <w:rPr>
          <w:sz w:val="20"/>
          <w:szCs w:val="20"/>
        </w:rPr>
        <w:t xml:space="preserve"> является результ</w:t>
      </w:r>
      <w:r w:rsidRPr="006D41EC">
        <w:rPr>
          <w:sz w:val="20"/>
          <w:szCs w:val="20"/>
        </w:rPr>
        <w:t>а</w:t>
      </w:r>
      <w:r w:rsidRPr="006D41EC">
        <w:rPr>
          <w:sz w:val="20"/>
          <w:szCs w:val="20"/>
        </w:rPr>
        <w:t xml:space="preserve">том действия </w:t>
      </w:r>
      <w:proofErr w:type="spellStart"/>
      <w:r w:rsidRPr="006D41EC">
        <w:rPr>
          <w:sz w:val="20"/>
          <w:szCs w:val="20"/>
        </w:rPr>
        <w:t>селенсодержащих</w:t>
      </w:r>
      <w:proofErr w:type="spellEnd"/>
      <w:r w:rsidRPr="006D41EC">
        <w:rPr>
          <w:sz w:val="20"/>
          <w:szCs w:val="20"/>
        </w:rPr>
        <w:t xml:space="preserve"> препаратов и указывает на укрепление </w:t>
      </w:r>
      <w:proofErr w:type="spellStart"/>
      <w:r w:rsidRPr="006D41EC">
        <w:rPr>
          <w:sz w:val="20"/>
          <w:szCs w:val="20"/>
        </w:rPr>
        <w:t>а</w:t>
      </w:r>
      <w:r w:rsidRPr="006D41EC">
        <w:rPr>
          <w:sz w:val="20"/>
          <w:szCs w:val="20"/>
        </w:rPr>
        <w:t>н</w:t>
      </w:r>
      <w:r w:rsidRPr="006D41EC">
        <w:rPr>
          <w:sz w:val="20"/>
          <w:szCs w:val="20"/>
        </w:rPr>
        <w:t>тиоксидантной</w:t>
      </w:r>
      <w:proofErr w:type="spellEnd"/>
      <w:r w:rsidRPr="006D41EC">
        <w:rPr>
          <w:sz w:val="20"/>
          <w:szCs w:val="20"/>
        </w:rPr>
        <w:t xml:space="preserve"> системы, стабили</w:t>
      </w:r>
      <w:r>
        <w:rPr>
          <w:sz w:val="20"/>
          <w:szCs w:val="20"/>
        </w:rPr>
        <w:t xml:space="preserve">зацию метаболических процессов, </w:t>
      </w:r>
      <w:r w:rsidRPr="006D41EC">
        <w:rPr>
          <w:sz w:val="20"/>
          <w:szCs w:val="20"/>
        </w:rPr>
        <w:t xml:space="preserve">уменьшение образования или активную ликвидацию токсических для организма продуктов, что подтверждается снижением </w:t>
      </w:r>
      <w:proofErr w:type="spellStart"/>
      <w:r w:rsidRPr="006D41EC">
        <w:rPr>
          <w:sz w:val="20"/>
          <w:szCs w:val="20"/>
        </w:rPr>
        <w:t>малонового</w:t>
      </w:r>
      <w:proofErr w:type="spellEnd"/>
      <w:r w:rsidRPr="006D41EC">
        <w:rPr>
          <w:sz w:val="20"/>
          <w:szCs w:val="20"/>
        </w:rPr>
        <w:t xml:space="preserve"> </w:t>
      </w:r>
      <w:proofErr w:type="spellStart"/>
      <w:r w:rsidRPr="006D41EC">
        <w:rPr>
          <w:sz w:val="20"/>
          <w:szCs w:val="20"/>
        </w:rPr>
        <w:t>д</w:t>
      </w:r>
      <w:r w:rsidRPr="006D41EC">
        <w:rPr>
          <w:sz w:val="20"/>
          <w:szCs w:val="20"/>
        </w:rPr>
        <w:t>и</w:t>
      </w:r>
      <w:r w:rsidRPr="006D41EC">
        <w:rPr>
          <w:sz w:val="20"/>
          <w:szCs w:val="20"/>
        </w:rPr>
        <w:t>альдегида</w:t>
      </w:r>
      <w:proofErr w:type="spellEnd"/>
      <w:r w:rsidRPr="006D41EC">
        <w:rPr>
          <w:sz w:val="20"/>
          <w:szCs w:val="20"/>
        </w:rPr>
        <w:t xml:space="preserve"> в крови.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Более низкая </w:t>
      </w:r>
      <w:r w:rsidRPr="006D41EC">
        <w:rPr>
          <w:sz w:val="20"/>
          <w:szCs w:val="20"/>
        </w:rPr>
        <w:t>эффективность препарата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содержащего неорганич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>скую форму селена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объясняется, по-видимому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тем, что минерал</w:t>
      </w:r>
      <w:r w:rsidRPr="006D41EC">
        <w:rPr>
          <w:sz w:val="20"/>
          <w:szCs w:val="20"/>
        </w:rPr>
        <w:t>ь</w:t>
      </w:r>
      <w:r w:rsidRPr="006D41EC">
        <w:rPr>
          <w:sz w:val="20"/>
          <w:szCs w:val="20"/>
        </w:rPr>
        <w:t>ный селен</w:t>
      </w:r>
      <w:r>
        <w:rPr>
          <w:sz w:val="20"/>
          <w:szCs w:val="20"/>
        </w:rPr>
        <w:t>,</w:t>
      </w:r>
      <w:r w:rsidRPr="006D41EC">
        <w:rPr>
          <w:sz w:val="20"/>
          <w:szCs w:val="20"/>
        </w:rPr>
        <w:t xml:space="preserve"> поступив в организм в виде </w:t>
      </w:r>
      <w:proofErr w:type="spellStart"/>
      <w:r w:rsidRPr="006D41EC">
        <w:rPr>
          <w:iCs/>
          <w:sz w:val="20"/>
          <w:szCs w:val="20"/>
        </w:rPr>
        <w:t>селена</w:t>
      </w:r>
      <w:proofErr w:type="gramStart"/>
      <w:r w:rsidRPr="006D41EC">
        <w:rPr>
          <w:iCs/>
          <w:sz w:val="20"/>
          <w:szCs w:val="20"/>
        </w:rPr>
        <w:t>т</w:t>
      </w:r>
      <w:proofErr w:type="spellEnd"/>
      <w:r w:rsidRPr="006D41EC">
        <w:rPr>
          <w:iCs/>
          <w:sz w:val="20"/>
          <w:szCs w:val="20"/>
        </w:rPr>
        <w:t>-</w:t>
      </w:r>
      <w:proofErr w:type="gramEnd"/>
      <w:r w:rsidRPr="006D41EC">
        <w:rPr>
          <w:iCs/>
          <w:sz w:val="20"/>
          <w:szCs w:val="20"/>
        </w:rPr>
        <w:t xml:space="preserve"> или </w:t>
      </w:r>
      <w:proofErr w:type="spellStart"/>
      <w:r w:rsidRPr="006D41EC">
        <w:rPr>
          <w:iCs/>
          <w:sz w:val="20"/>
          <w:szCs w:val="20"/>
        </w:rPr>
        <w:t>селенит-анионов</w:t>
      </w:r>
      <w:proofErr w:type="spellEnd"/>
      <w:r w:rsidRPr="006D41EC">
        <w:rPr>
          <w:iCs/>
          <w:sz w:val="20"/>
          <w:szCs w:val="20"/>
        </w:rPr>
        <w:t xml:space="preserve">, после </w:t>
      </w:r>
      <w:r w:rsidRPr="006D41EC">
        <w:rPr>
          <w:iCs/>
          <w:sz w:val="20"/>
          <w:szCs w:val="20"/>
        </w:rPr>
        <w:lastRenderedPageBreak/>
        <w:t xml:space="preserve">всасывания соединяется с водородом, образуя </w:t>
      </w:r>
      <w:proofErr w:type="spellStart"/>
      <w:r w:rsidRPr="006D41EC">
        <w:rPr>
          <w:iCs/>
          <w:sz w:val="20"/>
          <w:szCs w:val="20"/>
        </w:rPr>
        <w:t>селеноводород</w:t>
      </w:r>
      <w:proofErr w:type="spellEnd"/>
      <w:r w:rsidRPr="006D41EC">
        <w:rPr>
          <w:iCs/>
          <w:sz w:val="20"/>
          <w:szCs w:val="20"/>
        </w:rPr>
        <w:t xml:space="preserve"> – токс</w:t>
      </w:r>
      <w:r w:rsidRPr="006D41EC">
        <w:rPr>
          <w:iCs/>
          <w:sz w:val="20"/>
          <w:szCs w:val="20"/>
        </w:rPr>
        <w:t>и</w:t>
      </w:r>
      <w:r w:rsidRPr="006D41EC">
        <w:rPr>
          <w:iCs/>
          <w:sz w:val="20"/>
          <w:szCs w:val="20"/>
        </w:rPr>
        <w:t xml:space="preserve">ческий для организма продукт. Избыток </w:t>
      </w:r>
      <w:proofErr w:type="spellStart"/>
      <w:r w:rsidRPr="006D41EC">
        <w:rPr>
          <w:iCs/>
          <w:sz w:val="20"/>
          <w:szCs w:val="20"/>
        </w:rPr>
        <w:t>селеноводорода</w:t>
      </w:r>
      <w:proofErr w:type="spellEnd"/>
      <w:r w:rsidRPr="006D41EC">
        <w:rPr>
          <w:iCs/>
          <w:sz w:val="20"/>
          <w:szCs w:val="20"/>
        </w:rPr>
        <w:t xml:space="preserve"> ферментир</w:t>
      </w:r>
      <w:r w:rsidRPr="006D41EC">
        <w:rPr>
          <w:iCs/>
          <w:sz w:val="20"/>
          <w:szCs w:val="20"/>
        </w:rPr>
        <w:t>у</w:t>
      </w:r>
      <w:r w:rsidRPr="006D41EC">
        <w:rPr>
          <w:iCs/>
          <w:sz w:val="20"/>
          <w:szCs w:val="20"/>
        </w:rPr>
        <w:t>ется с образованием соединений, которые выводятся с потом и мочой. И лишь небольшая часть селена включается в состав необходимых о</w:t>
      </w:r>
      <w:r w:rsidRPr="006D41EC">
        <w:rPr>
          <w:iCs/>
          <w:sz w:val="20"/>
          <w:szCs w:val="20"/>
        </w:rPr>
        <w:t>р</w:t>
      </w:r>
      <w:r w:rsidRPr="006D41EC">
        <w:rPr>
          <w:iCs/>
          <w:sz w:val="20"/>
          <w:szCs w:val="20"/>
        </w:rPr>
        <w:t xml:space="preserve">ганизму аминокислот: </w:t>
      </w:r>
      <w:proofErr w:type="spellStart"/>
      <w:r w:rsidRPr="006D41EC">
        <w:rPr>
          <w:iCs/>
          <w:sz w:val="20"/>
          <w:szCs w:val="20"/>
        </w:rPr>
        <w:t>селенометионин</w:t>
      </w:r>
      <w:proofErr w:type="spellEnd"/>
      <w:r w:rsidRPr="006D41EC">
        <w:rPr>
          <w:iCs/>
          <w:sz w:val="20"/>
          <w:szCs w:val="20"/>
        </w:rPr>
        <w:t xml:space="preserve"> и </w:t>
      </w:r>
      <w:proofErr w:type="spellStart"/>
      <w:r w:rsidRPr="006D41EC">
        <w:rPr>
          <w:iCs/>
          <w:sz w:val="20"/>
          <w:szCs w:val="20"/>
        </w:rPr>
        <w:t>селеноцистеин</w:t>
      </w:r>
      <w:proofErr w:type="spellEnd"/>
      <w:r w:rsidRPr="006D41EC">
        <w:rPr>
          <w:iCs/>
          <w:sz w:val="20"/>
          <w:szCs w:val="20"/>
        </w:rPr>
        <w:t xml:space="preserve"> </w:t>
      </w:r>
      <w:r w:rsidRPr="006D41EC">
        <w:rPr>
          <w:sz w:val="20"/>
          <w:szCs w:val="20"/>
        </w:rPr>
        <w:t xml:space="preserve">[4]. </w:t>
      </w:r>
    </w:p>
    <w:p w:rsidR="003911ED" w:rsidRPr="006D41EC" w:rsidRDefault="003911ED" w:rsidP="003911ED">
      <w:pPr>
        <w:ind w:firstLine="284"/>
        <w:jc w:val="both"/>
        <w:rPr>
          <w:sz w:val="20"/>
          <w:szCs w:val="20"/>
        </w:rPr>
      </w:pPr>
      <w:r w:rsidRPr="006D41EC">
        <w:rPr>
          <w:sz w:val="20"/>
          <w:szCs w:val="20"/>
        </w:rPr>
        <w:t xml:space="preserve">Умеренная эффективность </w:t>
      </w:r>
      <w:r w:rsidRPr="006D41EC">
        <w:rPr>
          <w:sz w:val="20"/>
          <w:szCs w:val="20"/>
          <w:lang w:val="en-US"/>
        </w:rPr>
        <w:t>SELENIUM</w:t>
      </w:r>
      <w:r w:rsidRPr="006D41EC">
        <w:rPr>
          <w:sz w:val="20"/>
          <w:szCs w:val="20"/>
        </w:rPr>
        <w:t xml:space="preserve"> </w:t>
      </w:r>
      <w:r w:rsidRPr="006D41EC">
        <w:rPr>
          <w:sz w:val="20"/>
          <w:szCs w:val="20"/>
          <w:lang w:val="en-US"/>
        </w:rPr>
        <w:t>YEAST</w:t>
      </w:r>
      <w:r w:rsidRPr="006D41EC">
        <w:rPr>
          <w:sz w:val="20"/>
          <w:szCs w:val="20"/>
        </w:rPr>
        <w:t xml:space="preserve"> связана с тем, что данный препарат уже содержит в себе такие соединения селена, как </w:t>
      </w:r>
      <w:proofErr w:type="spellStart"/>
      <w:r w:rsidRPr="006D41EC">
        <w:rPr>
          <w:iCs/>
          <w:sz w:val="20"/>
          <w:szCs w:val="20"/>
        </w:rPr>
        <w:t>селенометионин</w:t>
      </w:r>
      <w:proofErr w:type="spellEnd"/>
      <w:r w:rsidRPr="006D41EC">
        <w:rPr>
          <w:iCs/>
          <w:sz w:val="20"/>
          <w:szCs w:val="20"/>
        </w:rPr>
        <w:t xml:space="preserve"> и </w:t>
      </w:r>
      <w:proofErr w:type="spellStart"/>
      <w:r w:rsidRPr="006D41EC">
        <w:rPr>
          <w:iCs/>
          <w:sz w:val="20"/>
          <w:szCs w:val="20"/>
        </w:rPr>
        <w:t>селеноцистеин</w:t>
      </w:r>
      <w:proofErr w:type="spellEnd"/>
      <w:r w:rsidRPr="006D41EC">
        <w:rPr>
          <w:iCs/>
          <w:sz w:val="20"/>
          <w:szCs w:val="20"/>
        </w:rPr>
        <w:t>, которые легко проникают через сл</w:t>
      </w:r>
      <w:r w:rsidRPr="006D41EC">
        <w:rPr>
          <w:iCs/>
          <w:sz w:val="20"/>
          <w:szCs w:val="20"/>
        </w:rPr>
        <w:t>и</w:t>
      </w:r>
      <w:r w:rsidRPr="006D41EC">
        <w:rPr>
          <w:iCs/>
          <w:sz w:val="20"/>
          <w:szCs w:val="20"/>
        </w:rPr>
        <w:t xml:space="preserve">зистую оболочку кишечника в кровоток, чем обусловлена их высокая доступность, но низкая </w:t>
      </w:r>
      <w:proofErr w:type="spellStart"/>
      <w:r w:rsidRPr="006D41EC">
        <w:rPr>
          <w:iCs/>
          <w:sz w:val="20"/>
          <w:szCs w:val="20"/>
        </w:rPr>
        <w:t>протективность</w:t>
      </w:r>
      <w:proofErr w:type="spellEnd"/>
      <w:r w:rsidRPr="006D41EC">
        <w:rPr>
          <w:iCs/>
          <w:sz w:val="20"/>
          <w:szCs w:val="20"/>
        </w:rPr>
        <w:t xml:space="preserve"> в кризисной ситуации. Так, большое сходство физико-химических свойств метионина и </w:t>
      </w:r>
      <w:proofErr w:type="spellStart"/>
      <w:r w:rsidRPr="006D41EC">
        <w:rPr>
          <w:iCs/>
          <w:sz w:val="20"/>
          <w:szCs w:val="20"/>
        </w:rPr>
        <w:t>селеном</w:t>
      </w:r>
      <w:r w:rsidRPr="006D41EC">
        <w:rPr>
          <w:iCs/>
          <w:sz w:val="20"/>
          <w:szCs w:val="20"/>
        </w:rPr>
        <w:t>е</w:t>
      </w:r>
      <w:r w:rsidRPr="006D41EC">
        <w:rPr>
          <w:iCs/>
          <w:sz w:val="20"/>
          <w:szCs w:val="20"/>
        </w:rPr>
        <w:t>тионина</w:t>
      </w:r>
      <w:proofErr w:type="spellEnd"/>
      <w:r w:rsidRPr="006D41EC">
        <w:rPr>
          <w:iCs/>
          <w:sz w:val="20"/>
          <w:szCs w:val="20"/>
        </w:rPr>
        <w:t xml:space="preserve"> в сочетании с неспособностью организма высших животных различать аналоги серосоде</w:t>
      </w:r>
      <w:r w:rsidRPr="006D41EC">
        <w:rPr>
          <w:iCs/>
          <w:sz w:val="20"/>
          <w:szCs w:val="20"/>
        </w:rPr>
        <w:t>р</w:t>
      </w:r>
      <w:r w:rsidRPr="006D41EC">
        <w:rPr>
          <w:iCs/>
          <w:sz w:val="20"/>
          <w:szCs w:val="20"/>
        </w:rPr>
        <w:t>жащих аминокислот, в которых атом серы замене</w:t>
      </w:r>
      <w:r>
        <w:rPr>
          <w:iCs/>
          <w:sz w:val="20"/>
          <w:szCs w:val="20"/>
        </w:rPr>
        <w:t>н селеном, приводит к тому, что</w:t>
      </w:r>
      <w:r w:rsidRPr="006D41E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(</w:t>
      </w:r>
      <w:r w:rsidRPr="006D41EC">
        <w:rPr>
          <w:iCs/>
          <w:sz w:val="20"/>
          <w:szCs w:val="20"/>
        </w:rPr>
        <w:t xml:space="preserve">как и большинство </w:t>
      </w:r>
      <w:proofErr w:type="spellStart"/>
      <w:r w:rsidRPr="006D41EC">
        <w:rPr>
          <w:iCs/>
          <w:sz w:val="20"/>
          <w:szCs w:val="20"/>
        </w:rPr>
        <w:t>гидрол</w:t>
      </w:r>
      <w:r w:rsidRPr="006D41EC">
        <w:rPr>
          <w:iCs/>
          <w:sz w:val="20"/>
          <w:szCs w:val="20"/>
        </w:rPr>
        <w:t>и</w:t>
      </w:r>
      <w:r w:rsidRPr="006D41EC">
        <w:rPr>
          <w:iCs/>
          <w:sz w:val="20"/>
          <w:szCs w:val="20"/>
        </w:rPr>
        <w:t>зан</w:t>
      </w:r>
      <w:r>
        <w:rPr>
          <w:iCs/>
          <w:sz w:val="20"/>
          <w:szCs w:val="20"/>
        </w:rPr>
        <w:t>тов</w:t>
      </w:r>
      <w:proofErr w:type="spellEnd"/>
      <w:r>
        <w:rPr>
          <w:iCs/>
          <w:sz w:val="20"/>
          <w:szCs w:val="20"/>
        </w:rPr>
        <w:t xml:space="preserve"> кормового </w:t>
      </w:r>
      <w:proofErr w:type="gramStart"/>
      <w:r>
        <w:rPr>
          <w:iCs/>
          <w:sz w:val="20"/>
          <w:szCs w:val="20"/>
        </w:rPr>
        <w:t>протеина)</w:t>
      </w:r>
      <w:r w:rsidRPr="006D41EC">
        <w:rPr>
          <w:iCs/>
          <w:sz w:val="20"/>
          <w:szCs w:val="20"/>
        </w:rPr>
        <w:t xml:space="preserve"> </w:t>
      </w:r>
      <w:proofErr w:type="gramEnd"/>
      <w:r w:rsidRPr="006D41EC">
        <w:rPr>
          <w:iCs/>
          <w:sz w:val="20"/>
          <w:szCs w:val="20"/>
        </w:rPr>
        <w:t>они направляются на биосинтез собственных белков. При этом значительная часть используется для построения белков шерсти, производных кожи, эпидермиса, которые не могут вновь вовлекаться в обменные пр</w:t>
      </w:r>
      <w:r w:rsidRPr="006D41EC">
        <w:rPr>
          <w:iCs/>
          <w:sz w:val="20"/>
          <w:szCs w:val="20"/>
        </w:rPr>
        <w:t>о</w:t>
      </w:r>
      <w:r w:rsidRPr="006D41EC">
        <w:rPr>
          <w:iCs/>
          <w:sz w:val="20"/>
          <w:szCs w:val="20"/>
        </w:rPr>
        <w:t xml:space="preserve">цессы </w:t>
      </w:r>
      <w:r w:rsidRPr="006D41EC">
        <w:rPr>
          <w:sz w:val="20"/>
          <w:szCs w:val="20"/>
        </w:rPr>
        <w:t>[12].</w:t>
      </w:r>
    </w:p>
    <w:p w:rsidR="003911ED" w:rsidRPr="001A04DD" w:rsidRDefault="003911ED" w:rsidP="003911ED">
      <w:pPr>
        <w:ind w:firstLine="284"/>
        <w:jc w:val="both"/>
        <w:rPr>
          <w:iCs/>
          <w:sz w:val="20"/>
          <w:szCs w:val="20"/>
        </w:rPr>
      </w:pPr>
      <w:r w:rsidRPr="006D41EC">
        <w:rPr>
          <w:b/>
          <w:sz w:val="20"/>
          <w:szCs w:val="20"/>
        </w:rPr>
        <w:t>Заключение.</w:t>
      </w:r>
      <w:r w:rsidRPr="006D41EC">
        <w:rPr>
          <w:sz w:val="20"/>
          <w:szCs w:val="20"/>
        </w:rPr>
        <w:t xml:space="preserve"> Исходя из полученных данных, мы пришли к выводу о</w:t>
      </w:r>
      <w:r>
        <w:rPr>
          <w:sz w:val="20"/>
          <w:szCs w:val="20"/>
        </w:rPr>
        <w:t xml:space="preserve"> том, что </w:t>
      </w:r>
      <w:r w:rsidRPr="006D41EC">
        <w:rPr>
          <w:sz w:val="20"/>
          <w:szCs w:val="20"/>
        </w:rPr>
        <w:t xml:space="preserve">оптимальными свойствами для нормализации </w:t>
      </w:r>
      <w:proofErr w:type="spellStart"/>
      <w:r w:rsidRPr="006D41EC">
        <w:rPr>
          <w:sz w:val="20"/>
          <w:szCs w:val="20"/>
        </w:rPr>
        <w:t>биохимич</w:t>
      </w:r>
      <w:r w:rsidRPr="006D41EC">
        <w:rPr>
          <w:sz w:val="20"/>
          <w:szCs w:val="20"/>
        </w:rPr>
        <w:t>е</w:t>
      </w:r>
      <w:r w:rsidRPr="006D41EC">
        <w:rPr>
          <w:sz w:val="20"/>
          <w:szCs w:val="20"/>
        </w:rPr>
        <w:t>ких</w:t>
      </w:r>
      <w:proofErr w:type="spellEnd"/>
      <w:r w:rsidRPr="006D41EC">
        <w:rPr>
          <w:sz w:val="20"/>
          <w:szCs w:val="20"/>
        </w:rPr>
        <w:t xml:space="preserve">, </w:t>
      </w:r>
      <w:proofErr w:type="spellStart"/>
      <w:r w:rsidRPr="006D41EC">
        <w:rPr>
          <w:sz w:val="20"/>
          <w:szCs w:val="20"/>
        </w:rPr>
        <w:t>антиоксидантных</w:t>
      </w:r>
      <w:proofErr w:type="spellEnd"/>
      <w:r w:rsidRPr="006D41EC"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процессов обладает «</w:t>
      </w:r>
      <w:proofErr w:type="spellStart"/>
      <w:r>
        <w:rPr>
          <w:iCs/>
          <w:sz w:val="20"/>
          <w:szCs w:val="20"/>
        </w:rPr>
        <w:t>С</w:t>
      </w:r>
      <w:r w:rsidRPr="006D41EC">
        <w:rPr>
          <w:iCs/>
          <w:sz w:val="20"/>
          <w:szCs w:val="20"/>
        </w:rPr>
        <w:t>еленопиран</w:t>
      </w:r>
      <w:proofErr w:type="spellEnd"/>
      <w:r>
        <w:rPr>
          <w:iCs/>
          <w:sz w:val="20"/>
          <w:szCs w:val="20"/>
        </w:rPr>
        <w:t>»</w:t>
      </w:r>
      <w:r w:rsidRPr="006D41EC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Являясь скорее</w:t>
      </w:r>
      <w:r w:rsidRPr="006D41EC">
        <w:rPr>
          <w:iCs/>
          <w:sz w:val="20"/>
          <w:szCs w:val="20"/>
        </w:rPr>
        <w:t xml:space="preserve"> </w:t>
      </w:r>
      <w:proofErr w:type="spellStart"/>
      <w:r w:rsidRPr="006D41EC">
        <w:rPr>
          <w:iCs/>
          <w:sz w:val="20"/>
          <w:szCs w:val="20"/>
        </w:rPr>
        <w:t>наноразмерной</w:t>
      </w:r>
      <w:proofErr w:type="spellEnd"/>
      <w:r w:rsidRPr="006D41EC">
        <w:rPr>
          <w:iCs/>
          <w:sz w:val="20"/>
          <w:szCs w:val="20"/>
        </w:rPr>
        <w:t xml:space="preserve">, </w:t>
      </w:r>
      <w:proofErr w:type="spellStart"/>
      <w:r w:rsidRPr="006D41EC">
        <w:rPr>
          <w:iCs/>
          <w:sz w:val="20"/>
          <w:szCs w:val="20"/>
        </w:rPr>
        <w:t>хелатной</w:t>
      </w:r>
      <w:proofErr w:type="spellEnd"/>
      <w:r w:rsidRPr="006D41EC">
        <w:rPr>
          <w:iCs/>
          <w:sz w:val="20"/>
          <w:szCs w:val="20"/>
        </w:rPr>
        <w:t xml:space="preserve"> частицей, </w:t>
      </w:r>
      <w:r>
        <w:rPr>
          <w:iCs/>
          <w:sz w:val="20"/>
          <w:szCs w:val="20"/>
        </w:rPr>
        <w:t xml:space="preserve">он </w:t>
      </w:r>
      <w:r w:rsidRPr="006D41EC">
        <w:rPr>
          <w:iCs/>
          <w:sz w:val="20"/>
          <w:szCs w:val="20"/>
        </w:rPr>
        <w:t>компенсирует недост</w:t>
      </w:r>
      <w:r w:rsidRPr="006D41E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 xml:space="preserve">ток селена, включаясь </w:t>
      </w:r>
      <w:r w:rsidRPr="006D41EC">
        <w:rPr>
          <w:iCs/>
          <w:sz w:val="20"/>
          <w:szCs w:val="20"/>
        </w:rPr>
        <w:t xml:space="preserve">в состав </w:t>
      </w:r>
      <w:proofErr w:type="spellStart"/>
      <w:r w:rsidRPr="006D41EC">
        <w:rPr>
          <w:iCs/>
          <w:sz w:val="20"/>
          <w:szCs w:val="20"/>
        </w:rPr>
        <w:t>селенопротеинов</w:t>
      </w:r>
      <w:proofErr w:type="spellEnd"/>
      <w:r>
        <w:rPr>
          <w:iCs/>
          <w:sz w:val="20"/>
          <w:szCs w:val="20"/>
        </w:rPr>
        <w:t>,</w:t>
      </w:r>
      <w:r w:rsidRPr="006D41EC">
        <w:rPr>
          <w:iCs/>
          <w:sz w:val="20"/>
          <w:szCs w:val="20"/>
        </w:rPr>
        <w:t xml:space="preserve"> обеспечивая стабильное течение метаболических процессов и высокую степень кумуляции с</w:t>
      </w:r>
      <w:r w:rsidRPr="006D41EC">
        <w:rPr>
          <w:iCs/>
          <w:sz w:val="20"/>
          <w:szCs w:val="20"/>
        </w:rPr>
        <w:t>е</w:t>
      </w:r>
      <w:r w:rsidRPr="006D41EC">
        <w:rPr>
          <w:iCs/>
          <w:sz w:val="20"/>
          <w:szCs w:val="20"/>
        </w:rPr>
        <w:t>лена в органах и тканях животных.</w:t>
      </w:r>
    </w:p>
    <w:p w:rsidR="003911ED" w:rsidRPr="009E03E3" w:rsidRDefault="003911ED" w:rsidP="003911ED">
      <w:pPr>
        <w:jc w:val="center"/>
        <w:rPr>
          <w:sz w:val="16"/>
          <w:szCs w:val="16"/>
        </w:rPr>
      </w:pPr>
      <w:r w:rsidRPr="009E03E3">
        <w:rPr>
          <w:sz w:val="16"/>
          <w:szCs w:val="16"/>
        </w:rPr>
        <w:t>ЛИТЕРАТУРА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9E03E3">
        <w:rPr>
          <w:sz w:val="16"/>
          <w:szCs w:val="16"/>
        </w:rPr>
        <w:t>Блинохватов</w:t>
      </w:r>
      <w:proofErr w:type="spellEnd"/>
      <w:r>
        <w:rPr>
          <w:sz w:val="16"/>
          <w:szCs w:val="16"/>
        </w:rPr>
        <w:t>,</w:t>
      </w:r>
      <w:r w:rsidRPr="009E03E3">
        <w:rPr>
          <w:sz w:val="16"/>
          <w:szCs w:val="16"/>
        </w:rPr>
        <w:t xml:space="preserve"> А.Ф. </w:t>
      </w:r>
      <w:proofErr w:type="spellStart"/>
      <w:r w:rsidRPr="009E03E3">
        <w:rPr>
          <w:sz w:val="16"/>
          <w:szCs w:val="16"/>
        </w:rPr>
        <w:t>Селенопиран</w:t>
      </w:r>
      <w:proofErr w:type="spellEnd"/>
      <w:r w:rsidRPr="009E03E3">
        <w:rPr>
          <w:sz w:val="16"/>
          <w:szCs w:val="16"/>
        </w:rPr>
        <w:t xml:space="preserve"> – новый эффективный компонент биологически активных добавок / А.Ф. </w:t>
      </w:r>
      <w:proofErr w:type="spellStart"/>
      <w:r w:rsidRPr="009E03E3">
        <w:rPr>
          <w:sz w:val="16"/>
          <w:szCs w:val="16"/>
        </w:rPr>
        <w:t>Блинохватов</w:t>
      </w:r>
      <w:proofErr w:type="spellEnd"/>
      <w:r w:rsidRPr="009E03E3">
        <w:rPr>
          <w:sz w:val="16"/>
          <w:szCs w:val="16"/>
        </w:rPr>
        <w:t xml:space="preserve">, Г.И. </w:t>
      </w:r>
      <w:proofErr w:type="spellStart"/>
      <w:r w:rsidRPr="009E03E3">
        <w:rPr>
          <w:sz w:val="16"/>
          <w:szCs w:val="16"/>
        </w:rPr>
        <w:t>Боряев</w:t>
      </w:r>
      <w:proofErr w:type="spellEnd"/>
      <w:r w:rsidRPr="009E03E3">
        <w:rPr>
          <w:sz w:val="16"/>
          <w:szCs w:val="16"/>
        </w:rPr>
        <w:t>, В.П. Чижов // Тезисы докладов IV Международной конференции: Современные технологии восстановител</w:t>
      </w:r>
      <w:r w:rsidRPr="009E03E3">
        <w:rPr>
          <w:sz w:val="16"/>
          <w:szCs w:val="16"/>
        </w:rPr>
        <w:t>ь</w:t>
      </w:r>
      <w:r w:rsidRPr="009E03E3">
        <w:rPr>
          <w:sz w:val="16"/>
          <w:szCs w:val="16"/>
        </w:rPr>
        <w:t>ной медицины (диагностика, оздоровление, реабилитация). – Пенза</w:t>
      </w:r>
      <w:r>
        <w:rPr>
          <w:sz w:val="16"/>
          <w:szCs w:val="16"/>
        </w:rPr>
        <w:t>,</w:t>
      </w:r>
      <w:r w:rsidRPr="009E03E3">
        <w:rPr>
          <w:sz w:val="16"/>
          <w:szCs w:val="16"/>
        </w:rPr>
        <w:t xml:space="preserve"> 2001. – С</w:t>
      </w:r>
      <w:r>
        <w:rPr>
          <w:sz w:val="16"/>
          <w:szCs w:val="16"/>
        </w:rPr>
        <w:t>.</w:t>
      </w:r>
      <w:r w:rsidRPr="009E03E3">
        <w:rPr>
          <w:sz w:val="16"/>
          <w:szCs w:val="16"/>
        </w:rPr>
        <w:t xml:space="preserve"> 21.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</w:rPr>
      </w:pPr>
      <w:r w:rsidRPr="009E03E3">
        <w:rPr>
          <w:sz w:val="16"/>
          <w:szCs w:val="16"/>
        </w:rPr>
        <w:t>Головатый</w:t>
      </w:r>
      <w:r>
        <w:rPr>
          <w:sz w:val="16"/>
          <w:szCs w:val="16"/>
        </w:rPr>
        <w:t>,</w:t>
      </w:r>
      <w:r w:rsidRPr="009E03E3">
        <w:rPr>
          <w:sz w:val="16"/>
          <w:szCs w:val="16"/>
        </w:rPr>
        <w:t xml:space="preserve"> С.Е. Содержание селена в почвах и растениях Беларуси / С.Е. Голов</w:t>
      </w:r>
      <w:r w:rsidRPr="009E03E3">
        <w:rPr>
          <w:sz w:val="16"/>
          <w:szCs w:val="16"/>
        </w:rPr>
        <w:t>а</w:t>
      </w:r>
      <w:r>
        <w:rPr>
          <w:sz w:val="16"/>
          <w:szCs w:val="16"/>
        </w:rPr>
        <w:t xml:space="preserve">тый </w:t>
      </w:r>
      <w:r w:rsidRPr="009E03E3">
        <w:rPr>
          <w:sz w:val="16"/>
          <w:szCs w:val="16"/>
        </w:rPr>
        <w:t>[и др.] // Почвоведение и агрох</w:t>
      </w:r>
      <w:r>
        <w:rPr>
          <w:sz w:val="16"/>
          <w:szCs w:val="16"/>
        </w:rPr>
        <w:t xml:space="preserve">имия. – Минск, </w:t>
      </w:r>
      <w:r w:rsidRPr="009E03E3">
        <w:rPr>
          <w:sz w:val="16"/>
          <w:szCs w:val="16"/>
        </w:rPr>
        <w:t xml:space="preserve">2005. </w:t>
      </w:r>
      <w:r>
        <w:rPr>
          <w:sz w:val="16"/>
          <w:szCs w:val="16"/>
        </w:rPr>
        <w:t xml:space="preserve">– </w:t>
      </w:r>
      <w:r w:rsidRPr="009E03E3">
        <w:rPr>
          <w:sz w:val="16"/>
          <w:szCs w:val="16"/>
        </w:rPr>
        <w:t>№1.</w:t>
      </w:r>
      <w:r>
        <w:rPr>
          <w:sz w:val="16"/>
          <w:szCs w:val="16"/>
        </w:rPr>
        <w:t xml:space="preserve"> –</w:t>
      </w:r>
      <w:r w:rsidRPr="009E03E3">
        <w:rPr>
          <w:sz w:val="16"/>
          <w:szCs w:val="16"/>
        </w:rPr>
        <w:t xml:space="preserve"> С.89-93.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</w:rPr>
      </w:pPr>
      <w:r w:rsidRPr="009E03E3">
        <w:rPr>
          <w:sz w:val="16"/>
          <w:szCs w:val="16"/>
        </w:rPr>
        <w:t xml:space="preserve">Значение селена для различных видов животных // </w:t>
      </w:r>
      <w:proofErr w:type="spellStart"/>
      <w:r w:rsidRPr="009E03E3">
        <w:rPr>
          <w:sz w:val="16"/>
          <w:szCs w:val="16"/>
        </w:rPr>
        <w:t>Feeding</w:t>
      </w:r>
      <w:proofErr w:type="spellEnd"/>
      <w:r w:rsidRPr="009E03E3">
        <w:rPr>
          <w:sz w:val="16"/>
          <w:szCs w:val="16"/>
        </w:rPr>
        <w:t xml:space="preserve"> times</w:t>
      </w:r>
      <w:r>
        <w:rPr>
          <w:sz w:val="16"/>
          <w:szCs w:val="16"/>
        </w:rPr>
        <w:t>,</w:t>
      </w:r>
      <w:r w:rsidRPr="009E03E3">
        <w:rPr>
          <w:sz w:val="16"/>
          <w:szCs w:val="16"/>
        </w:rPr>
        <w:t xml:space="preserve">2002. </w:t>
      </w:r>
      <w:r>
        <w:rPr>
          <w:sz w:val="16"/>
          <w:szCs w:val="16"/>
        </w:rPr>
        <w:t xml:space="preserve">- </w:t>
      </w:r>
      <w:r w:rsidRPr="009E03E3">
        <w:rPr>
          <w:sz w:val="16"/>
          <w:szCs w:val="16"/>
        </w:rPr>
        <w:t xml:space="preserve">Т. 7, №2. </w:t>
      </w:r>
      <w:r>
        <w:rPr>
          <w:sz w:val="16"/>
          <w:szCs w:val="16"/>
        </w:rPr>
        <w:t xml:space="preserve">– </w:t>
      </w:r>
      <w:r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>.32</w:t>
      </w:r>
      <w:r w:rsidRPr="009E03E3">
        <w:rPr>
          <w:sz w:val="16"/>
          <w:szCs w:val="16"/>
        </w:rPr>
        <w:t>.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9E03E3">
        <w:rPr>
          <w:sz w:val="16"/>
          <w:szCs w:val="16"/>
        </w:rPr>
        <w:t>Кондрахин</w:t>
      </w:r>
      <w:proofErr w:type="spellEnd"/>
      <w:r>
        <w:rPr>
          <w:sz w:val="16"/>
          <w:szCs w:val="16"/>
        </w:rPr>
        <w:t>,</w:t>
      </w:r>
      <w:r w:rsidRPr="009E03E3">
        <w:rPr>
          <w:sz w:val="16"/>
          <w:szCs w:val="16"/>
        </w:rPr>
        <w:t xml:space="preserve"> И.П. Методы ветеринарной клинической лабораторной диагностики: справочник / Под ред. проф. И.П. </w:t>
      </w:r>
      <w:proofErr w:type="spellStart"/>
      <w:r w:rsidRPr="009E03E3">
        <w:rPr>
          <w:sz w:val="16"/>
          <w:szCs w:val="16"/>
        </w:rPr>
        <w:t>Кондрахина</w:t>
      </w:r>
      <w:proofErr w:type="spellEnd"/>
      <w:r w:rsidRPr="009E03E3">
        <w:rPr>
          <w:sz w:val="16"/>
          <w:szCs w:val="16"/>
        </w:rPr>
        <w:t xml:space="preserve">. – М.: </w:t>
      </w:r>
      <w:proofErr w:type="spellStart"/>
      <w:r w:rsidRPr="009E03E3">
        <w:rPr>
          <w:sz w:val="16"/>
          <w:szCs w:val="16"/>
        </w:rPr>
        <w:t>КолосС</w:t>
      </w:r>
      <w:proofErr w:type="spellEnd"/>
      <w:r w:rsidRPr="009E03E3">
        <w:rPr>
          <w:sz w:val="16"/>
          <w:szCs w:val="16"/>
        </w:rPr>
        <w:t>, 2004. – 520 с.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9E03E3">
        <w:rPr>
          <w:sz w:val="16"/>
          <w:szCs w:val="16"/>
        </w:rPr>
        <w:t>Кучинский</w:t>
      </w:r>
      <w:proofErr w:type="spellEnd"/>
      <w:r>
        <w:rPr>
          <w:sz w:val="16"/>
          <w:szCs w:val="16"/>
        </w:rPr>
        <w:t>,</w:t>
      </w:r>
      <w:r w:rsidRPr="009E03E3">
        <w:rPr>
          <w:sz w:val="16"/>
          <w:szCs w:val="16"/>
        </w:rPr>
        <w:t xml:space="preserve"> М.П. Современные сведения о физико-химических свойс</w:t>
      </w:r>
      <w:r w:rsidRPr="009E03E3">
        <w:rPr>
          <w:sz w:val="16"/>
          <w:szCs w:val="16"/>
        </w:rPr>
        <w:t>т</w:t>
      </w:r>
      <w:r w:rsidRPr="009E03E3">
        <w:rPr>
          <w:sz w:val="16"/>
          <w:szCs w:val="16"/>
        </w:rPr>
        <w:t xml:space="preserve">вах </w:t>
      </w:r>
      <w:r>
        <w:rPr>
          <w:sz w:val="16"/>
          <w:szCs w:val="16"/>
        </w:rPr>
        <w:t xml:space="preserve">макро- и микроэлементов / М.П. </w:t>
      </w:r>
      <w:proofErr w:type="spellStart"/>
      <w:r w:rsidRPr="009E03E3">
        <w:rPr>
          <w:sz w:val="16"/>
          <w:szCs w:val="16"/>
        </w:rPr>
        <w:t>Кучинский</w:t>
      </w:r>
      <w:proofErr w:type="spellEnd"/>
      <w:r w:rsidRPr="009E03E3">
        <w:rPr>
          <w:sz w:val="16"/>
          <w:szCs w:val="16"/>
        </w:rPr>
        <w:t xml:space="preserve"> // Эпизоотология, иммунология, фармакология, сан</w:t>
      </w:r>
      <w:r w:rsidRPr="009E03E3">
        <w:rPr>
          <w:sz w:val="16"/>
          <w:szCs w:val="16"/>
        </w:rPr>
        <w:t>и</w:t>
      </w:r>
      <w:r>
        <w:rPr>
          <w:sz w:val="16"/>
          <w:szCs w:val="16"/>
        </w:rPr>
        <w:t xml:space="preserve">тария, </w:t>
      </w:r>
      <w:r w:rsidRPr="009E03E3">
        <w:rPr>
          <w:sz w:val="16"/>
          <w:szCs w:val="16"/>
        </w:rPr>
        <w:t>2009. - №2. - С.107-116.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Надаринская</w:t>
      </w:r>
      <w:proofErr w:type="spellEnd"/>
      <w:r>
        <w:rPr>
          <w:sz w:val="16"/>
          <w:szCs w:val="16"/>
        </w:rPr>
        <w:t>, М.А. Влияние</w:t>
      </w:r>
      <w:r w:rsidRPr="009E03E3">
        <w:rPr>
          <w:sz w:val="16"/>
          <w:szCs w:val="16"/>
        </w:rPr>
        <w:t xml:space="preserve"> различных уровней селе</w:t>
      </w:r>
      <w:r>
        <w:rPr>
          <w:sz w:val="16"/>
          <w:szCs w:val="16"/>
        </w:rPr>
        <w:t xml:space="preserve">на </w:t>
      </w:r>
      <w:r w:rsidRPr="009E03E3">
        <w:rPr>
          <w:sz w:val="16"/>
          <w:szCs w:val="16"/>
        </w:rPr>
        <w:t>на продук</w:t>
      </w:r>
      <w:r>
        <w:rPr>
          <w:sz w:val="16"/>
          <w:szCs w:val="16"/>
        </w:rPr>
        <w:t xml:space="preserve">тивность и </w:t>
      </w:r>
      <w:r w:rsidRPr="009E03E3">
        <w:rPr>
          <w:sz w:val="16"/>
          <w:szCs w:val="16"/>
        </w:rPr>
        <w:t>гем</w:t>
      </w:r>
      <w:r w:rsidRPr="009E03E3">
        <w:rPr>
          <w:sz w:val="16"/>
          <w:szCs w:val="16"/>
        </w:rPr>
        <w:t>а</w:t>
      </w:r>
      <w:r w:rsidRPr="009E03E3">
        <w:rPr>
          <w:sz w:val="16"/>
          <w:szCs w:val="16"/>
        </w:rPr>
        <w:t>то</w:t>
      </w:r>
      <w:r>
        <w:rPr>
          <w:sz w:val="16"/>
          <w:szCs w:val="16"/>
        </w:rPr>
        <w:t>логические показатели коров с удоем 6 тыс. кг за лактацию / М.</w:t>
      </w:r>
      <w:r w:rsidRPr="009E03E3">
        <w:rPr>
          <w:sz w:val="16"/>
          <w:szCs w:val="16"/>
        </w:rPr>
        <w:t xml:space="preserve">А. </w:t>
      </w:r>
      <w:proofErr w:type="spellStart"/>
      <w:r w:rsidRPr="009E03E3">
        <w:rPr>
          <w:sz w:val="16"/>
          <w:szCs w:val="16"/>
        </w:rPr>
        <w:t>Надаринская</w:t>
      </w:r>
      <w:proofErr w:type="spellEnd"/>
      <w:r w:rsidRPr="009E03E3">
        <w:rPr>
          <w:sz w:val="16"/>
          <w:szCs w:val="16"/>
        </w:rPr>
        <w:t xml:space="preserve"> // </w:t>
      </w:r>
      <w:proofErr w:type="spellStart"/>
      <w:r w:rsidRPr="009E03E3">
        <w:rPr>
          <w:sz w:val="16"/>
          <w:szCs w:val="16"/>
        </w:rPr>
        <w:t>Весц</w:t>
      </w:r>
      <w:proofErr w:type="gramStart"/>
      <w:r w:rsidRPr="009E03E3">
        <w:rPr>
          <w:sz w:val="16"/>
          <w:szCs w:val="16"/>
        </w:rPr>
        <w:t>i</w:t>
      </w:r>
      <w:proofErr w:type="spellEnd"/>
      <w:proofErr w:type="gramEnd"/>
      <w:r w:rsidRPr="009E03E3">
        <w:rPr>
          <w:sz w:val="16"/>
          <w:szCs w:val="16"/>
        </w:rPr>
        <w:t xml:space="preserve"> </w:t>
      </w:r>
      <w:proofErr w:type="spellStart"/>
      <w:r w:rsidRPr="009E03E3">
        <w:rPr>
          <w:sz w:val="16"/>
          <w:szCs w:val="16"/>
        </w:rPr>
        <w:t>Нацыянальнай</w:t>
      </w:r>
      <w:proofErr w:type="spellEnd"/>
      <w:r w:rsidRPr="009E03E3">
        <w:rPr>
          <w:sz w:val="16"/>
          <w:szCs w:val="16"/>
        </w:rPr>
        <w:t xml:space="preserve"> </w:t>
      </w:r>
      <w:proofErr w:type="spellStart"/>
      <w:r w:rsidRPr="009E03E3">
        <w:rPr>
          <w:sz w:val="16"/>
          <w:szCs w:val="16"/>
        </w:rPr>
        <w:t>акадэмii</w:t>
      </w:r>
      <w:proofErr w:type="spellEnd"/>
      <w:r w:rsidRPr="009E03E3">
        <w:rPr>
          <w:sz w:val="16"/>
          <w:szCs w:val="16"/>
        </w:rPr>
        <w:t xml:space="preserve"> </w:t>
      </w:r>
      <w:proofErr w:type="spellStart"/>
      <w:r w:rsidRPr="009E03E3">
        <w:rPr>
          <w:sz w:val="16"/>
          <w:szCs w:val="16"/>
        </w:rPr>
        <w:t>навук</w:t>
      </w:r>
      <w:proofErr w:type="spellEnd"/>
      <w:r w:rsidRPr="009E03E3">
        <w:rPr>
          <w:sz w:val="16"/>
          <w:szCs w:val="16"/>
        </w:rPr>
        <w:t xml:space="preserve"> </w:t>
      </w:r>
      <w:proofErr w:type="spellStart"/>
      <w:r w:rsidRPr="009E03E3">
        <w:rPr>
          <w:sz w:val="16"/>
          <w:szCs w:val="16"/>
        </w:rPr>
        <w:t>Беларусі</w:t>
      </w:r>
      <w:proofErr w:type="spellEnd"/>
      <w:r w:rsidRPr="009E03E3">
        <w:rPr>
          <w:sz w:val="16"/>
          <w:szCs w:val="16"/>
        </w:rPr>
        <w:t>. (</w:t>
      </w:r>
      <w:proofErr w:type="spellStart"/>
      <w:r w:rsidRPr="009E03E3">
        <w:rPr>
          <w:sz w:val="16"/>
          <w:szCs w:val="16"/>
        </w:rPr>
        <w:t>Серыя</w:t>
      </w:r>
      <w:proofErr w:type="spellEnd"/>
      <w:r w:rsidRPr="009E03E3">
        <w:rPr>
          <w:sz w:val="16"/>
          <w:szCs w:val="16"/>
        </w:rPr>
        <w:t xml:space="preserve"> аграрных </w:t>
      </w:r>
      <w:proofErr w:type="spellStart"/>
      <w:r w:rsidRPr="009E03E3">
        <w:rPr>
          <w:sz w:val="16"/>
          <w:szCs w:val="16"/>
        </w:rPr>
        <w:t>н</w:t>
      </w:r>
      <w:r w:rsidRPr="009E03E3">
        <w:rPr>
          <w:sz w:val="16"/>
          <w:szCs w:val="16"/>
        </w:rPr>
        <w:t>а</w:t>
      </w:r>
      <w:r>
        <w:rPr>
          <w:sz w:val="16"/>
          <w:szCs w:val="16"/>
        </w:rPr>
        <w:t>вук</w:t>
      </w:r>
      <w:proofErr w:type="spellEnd"/>
      <w:r>
        <w:rPr>
          <w:sz w:val="16"/>
          <w:szCs w:val="16"/>
        </w:rPr>
        <w:t xml:space="preserve">), </w:t>
      </w:r>
      <w:r w:rsidRPr="009E03E3">
        <w:rPr>
          <w:sz w:val="16"/>
          <w:szCs w:val="16"/>
        </w:rPr>
        <w:t>2004. – №1. - С.86-89.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9E03E3">
        <w:rPr>
          <w:sz w:val="16"/>
          <w:szCs w:val="16"/>
        </w:rPr>
        <w:t>Папазян</w:t>
      </w:r>
      <w:proofErr w:type="spellEnd"/>
      <w:r>
        <w:rPr>
          <w:sz w:val="16"/>
          <w:szCs w:val="16"/>
        </w:rPr>
        <w:t>,</w:t>
      </w:r>
      <w:r w:rsidRPr="009E03E3">
        <w:rPr>
          <w:sz w:val="16"/>
          <w:szCs w:val="16"/>
        </w:rPr>
        <w:t xml:space="preserve"> Т. Обогащение продуктов животноводства селеном / Т. </w:t>
      </w:r>
      <w:proofErr w:type="spellStart"/>
      <w:r w:rsidRPr="009E03E3">
        <w:rPr>
          <w:sz w:val="16"/>
          <w:szCs w:val="16"/>
        </w:rPr>
        <w:t>Папазян</w:t>
      </w:r>
      <w:proofErr w:type="spellEnd"/>
      <w:r w:rsidRPr="009E03E3">
        <w:rPr>
          <w:sz w:val="16"/>
          <w:szCs w:val="16"/>
        </w:rPr>
        <w:t xml:space="preserve"> // Живо</w:t>
      </w:r>
      <w:r w:rsidRPr="009E03E3">
        <w:rPr>
          <w:sz w:val="16"/>
          <w:szCs w:val="16"/>
        </w:rPr>
        <w:t>т</w:t>
      </w:r>
      <w:r w:rsidRPr="009E03E3">
        <w:rPr>
          <w:sz w:val="16"/>
          <w:szCs w:val="16"/>
        </w:rPr>
        <w:t>новодство России</w:t>
      </w:r>
      <w:r>
        <w:rPr>
          <w:sz w:val="16"/>
          <w:szCs w:val="16"/>
        </w:rPr>
        <w:t>, 2003. -</w:t>
      </w:r>
      <w:r w:rsidRPr="009E03E3">
        <w:rPr>
          <w:sz w:val="16"/>
          <w:szCs w:val="16"/>
        </w:rPr>
        <w:t xml:space="preserve"> №11. - С.54-55.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9E03E3">
            <w:rPr>
              <w:sz w:val="16"/>
              <w:szCs w:val="16"/>
              <w:lang w:val="en-US"/>
            </w:rPr>
            <w:t>Mahan</w:t>
          </w:r>
        </w:smartTag>
        <w:r w:rsidRPr="00E62CD1">
          <w:rPr>
            <w:sz w:val="16"/>
            <w:szCs w:val="16"/>
            <w:lang w:val="en-US"/>
          </w:rPr>
          <w:t>,</w:t>
        </w:r>
        <w:r>
          <w:rPr>
            <w:sz w:val="16"/>
            <w:szCs w:val="16"/>
            <w:lang w:val="en-US"/>
          </w:rPr>
          <w:t xml:space="preserve"> </w:t>
        </w:r>
        <w:smartTag w:uri="urn:schemas-microsoft-com:office:smarttags" w:element="State">
          <w:r>
            <w:rPr>
              <w:sz w:val="16"/>
              <w:szCs w:val="16"/>
              <w:lang w:val="en-US"/>
            </w:rPr>
            <w:t>D.</w:t>
          </w:r>
          <w:r w:rsidRPr="009E03E3">
            <w:rPr>
              <w:sz w:val="16"/>
              <w:szCs w:val="16"/>
              <w:lang w:val="en-US"/>
            </w:rPr>
            <w:t>C.</w:t>
          </w:r>
        </w:smartTag>
      </w:smartTag>
      <w:r w:rsidRPr="009E03E3">
        <w:rPr>
          <w:sz w:val="16"/>
          <w:szCs w:val="16"/>
          <w:lang w:val="en-US"/>
        </w:rPr>
        <w:t xml:space="preserve"> Effect of organic and inorganic selenium sources and levels on sow </w:t>
      </w:r>
      <w:proofErr w:type="spellStart"/>
      <w:r w:rsidRPr="009E03E3">
        <w:rPr>
          <w:sz w:val="16"/>
          <w:szCs w:val="16"/>
          <w:lang w:val="en-US"/>
        </w:rPr>
        <w:t>col</w:t>
      </w:r>
      <w:r w:rsidRPr="009E03E3">
        <w:rPr>
          <w:sz w:val="16"/>
          <w:szCs w:val="16"/>
          <w:lang w:val="en-US"/>
        </w:rPr>
        <w:t>o</w:t>
      </w:r>
      <w:r w:rsidRPr="009E03E3">
        <w:rPr>
          <w:sz w:val="16"/>
          <w:szCs w:val="16"/>
          <w:lang w:val="en-US"/>
        </w:rPr>
        <w:t>strum</w:t>
      </w:r>
      <w:proofErr w:type="spellEnd"/>
      <w:r>
        <w:rPr>
          <w:sz w:val="16"/>
          <w:szCs w:val="16"/>
          <w:lang w:val="en-US"/>
        </w:rPr>
        <w:t xml:space="preserve"> and milk selenium content / D.</w:t>
      </w:r>
      <w:r w:rsidRPr="009E03E3">
        <w:rPr>
          <w:sz w:val="16"/>
          <w:szCs w:val="16"/>
          <w:lang w:val="en-US"/>
        </w:rPr>
        <w:t>C. Maha</w:t>
      </w:r>
      <w:r>
        <w:rPr>
          <w:sz w:val="16"/>
          <w:szCs w:val="16"/>
          <w:lang w:val="en-US"/>
        </w:rPr>
        <w:t>n // Journal of Animal Science</w:t>
      </w:r>
      <w:r w:rsidRPr="00E62CD1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>2000</w:t>
      </w:r>
      <w:r w:rsidRPr="00E62CD1">
        <w:rPr>
          <w:sz w:val="16"/>
          <w:szCs w:val="16"/>
          <w:lang w:val="en-US"/>
        </w:rPr>
        <w:t xml:space="preserve">. - </w:t>
      </w:r>
      <w:r>
        <w:rPr>
          <w:sz w:val="16"/>
          <w:szCs w:val="16"/>
          <w:lang w:val="en-US"/>
        </w:rPr>
        <w:t>V</w:t>
      </w:r>
      <w:r w:rsidRPr="009E03E3">
        <w:rPr>
          <w:sz w:val="16"/>
          <w:szCs w:val="16"/>
          <w:lang w:val="en-US"/>
        </w:rPr>
        <w:t>ol</w:t>
      </w:r>
      <w:r w:rsidRPr="00E62CD1">
        <w:rPr>
          <w:sz w:val="16"/>
          <w:szCs w:val="16"/>
          <w:lang w:val="en-US"/>
        </w:rPr>
        <w:t xml:space="preserve">.78. - </w:t>
      </w:r>
      <w:r w:rsidRPr="009E03E3">
        <w:rPr>
          <w:sz w:val="16"/>
          <w:szCs w:val="16"/>
        </w:rPr>
        <w:t>Р</w:t>
      </w:r>
      <w:r w:rsidRPr="00E62CD1">
        <w:rPr>
          <w:sz w:val="16"/>
          <w:szCs w:val="16"/>
          <w:lang w:val="en-US"/>
        </w:rPr>
        <w:t>.100-105.</w:t>
      </w:r>
    </w:p>
    <w:p w:rsidR="003911ED" w:rsidRPr="009E03E3" w:rsidRDefault="003911ED" w:rsidP="003911ED">
      <w:pPr>
        <w:numPr>
          <w:ilvl w:val="0"/>
          <w:numId w:val="3"/>
        </w:numPr>
        <w:tabs>
          <w:tab w:val="clear" w:pos="1260"/>
          <w:tab w:val="num" w:pos="360"/>
        </w:tabs>
        <w:ind w:left="0" w:firstLine="180"/>
        <w:jc w:val="both"/>
        <w:rPr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9E03E3">
            <w:rPr>
              <w:sz w:val="16"/>
              <w:szCs w:val="16"/>
              <w:lang w:val="en-US"/>
            </w:rPr>
            <w:t>Santos</w:t>
          </w:r>
        </w:smartTag>
      </w:smartTag>
      <w:r w:rsidRPr="00E62CD1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M.C. </w:t>
      </w:r>
      <w:r w:rsidRPr="009E03E3">
        <w:rPr>
          <w:sz w:val="16"/>
          <w:szCs w:val="16"/>
          <w:lang w:val="en-US"/>
        </w:rPr>
        <w:t>The effect of age and selenium on some biochemical param</w:t>
      </w:r>
      <w:r w:rsidRPr="009E03E3">
        <w:rPr>
          <w:sz w:val="16"/>
          <w:szCs w:val="16"/>
          <w:lang w:val="en-US"/>
        </w:rPr>
        <w:t>e</w:t>
      </w:r>
      <w:r w:rsidRPr="009E03E3">
        <w:rPr>
          <w:sz w:val="16"/>
          <w:szCs w:val="16"/>
          <w:lang w:val="en-US"/>
        </w:rPr>
        <w:t xml:space="preserve">ters in rate liver / M.C. Santos, H. </w:t>
      </w:r>
      <w:proofErr w:type="spellStart"/>
      <w:r w:rsidRPr="009E03E3">
        <w:rPr>
          <w:sz w:val="16"/>
          <w:szCs w:val="16"/>
          <w:lang w:val="en-US"/>
        </w:rPr>
        <w:t>Rodrigues</w:t>
      </w:r>
      <w:proofErr w:type="spellEnd"/>
      <w:r w:rsidRPr="009E03E3">
        <w:rPr>
          <w:sz w:val="16"/>
          <w:szCs w:val="16"/>
          <w:lang w:val="en-US"/>
        </w:rPr>
        <w:t xml:space="preserve">, A.M. </w:t>
      </w:r>
      <w:proofErr w:type="spellStart"/>
      <w:r w:rsidRPr="009E03E3">
        <w:rPr>
          <w:sz w:val="16"/>
          <w:szCs w:val="16"/>
          <w:lang w:val="en-US"/>
        </w:rPr>
        <w:t>Crespo</w:t>
      </w:r>
      <w:proofErr w:type="spellEnd"/>
      <w:r w:rsidRPr="009E03E3">
        <w:rPr>
          <w:sz w:val="16"/>
          <w:szCs w:val="16"/>
          <w:lang w:val="en-US"/>
        </w:rPr>
        <w:t xml:space="preserve"> // Journal of </w:t>
      </w:r>
      <w:proofErr w:type="spellStart"/>
      <w:r w:rsidRPr="009E03E3">
        <w:rPr>
          <w:sz w:val="16"/>
          <w:szCs w:val="16"/>
          <w:lang w:val="en-US"/>
        </w:rPr>
        <w:t>Biol</w:t>
      </w:r>
      <w:proofErr w:type="spellEnd"/>
      <w:r w:rsidRPr="009E03E3">
        <w:rPr>
          <w:sz w:val="16"/>
          <w:szCs w:val="16"/>
          <w:lang w:val="en-US"/>
        </w:rPr>
        <w:t xml:space="preserve"> Trace Elem Res.</w:t>
      </w:r>
      <w:r w:rsidRPr="00E62CD1">
        <w:rPr>
          <w:sz w:val="16"/>
          <w:szCs w:val="16"/>
          <w:lang w:val="en-US"/>
        </w:rPr>
        <w:t>,</w:t>
      </w:r>
      <w:r w:rsidRPr="009E03E3">
        <w:rPr>
          <w:sz w:val="16"/>
          <w:szCs w:val="16"/>
          <w:lang w:val="en-US"/>
        </w:rPr>
        <w:t xml:space="preserve"> 2003. - </w:t>
      </w:r>
      <w:r>
        <w:rPr>
          <w:sz w:val="16"/>
          <w:szCs w:val="16"/>
          <w:lang w:val="en-US"/>
        </w:rPr>
        <w:t>V</w:t>
      </w:r>
      <w:r w:rsidRPr="009E03E3">
        <w:rPr>
          <w:sz w:val="16"/>
          <w:szCs w:val="16"/>
          <w:lang w:val="en-US"/>
        </w:rPr>
        <w:t xml:space="preserve">ol.1-3. – </w:t>
      </w:r>
      <w:r w:rsidRPr="009E03E3">
        <w:rPr>
          <w:sz w:val="16"/>
          <w:szCs w:val="16"/>
        </w:rPr>
        <w:t>Р</w:t>
      </w:r>
      <w:r w:rsidRPr="009E03E3">
        <w:rPr>
          <w:sz w:val="16"/>
          <w:szCs w:val="16"/>
          <w:lang w:val="en-US"/>
        </w:rPr>
        <w:t>.257-258.</w:t>
      </w:r>
    </w:p>
    <w:p w:rsidR="003911ED" w:rsidRPr="009E03E3" w:rsidRDefault="003911ED" w:rsidP="003911ED">
      <w:pPr>
        <w:jc w:val="both"/>
        <w:rPr>
          <w:sz w:val="16"/>
          <w:szCs w:val="16"/>
          <w:lang w:val="en-US"/>
        </w:rPr>
      </w:pPr>
      <w:r w:rsidRPr="00E62CD1">
        <w:rPr>
          <w:sz w:val="16"/>
          <w:szCs w:val="16"/>
          <w:lang w:val="en-US"/>
        </w:rPr>
        <w:t xml:space="preserve">   10 </w:t>
      </w:r>
      <w:r w:rsidRPr="009E03E3">
        <w:rPr>
          <w:sz w:val="16"/>
          <w:szCs w:val="16"/>
          <w:lang w:val="en-US"/>
        </w:rPr>
        <w:t>Kim</w:t>
      </w:r>
      <w:r w:rsidRPr="00E62CD1">
        <w:rPr>
          <w:sz w:val="16"/>
          <w:szCs w:val="16"/>
          <w:lang w:val="en-US"/>
        </w:rPr>
        <w:t>,</w:t>
      </w:r>
      <w:r w:rsidRPr="009E03E3">
        <w:rPr>
          <w:sz w:val="16"/>
          <w:szCs w:val="16"/>
          <w:lang w:val="en-US"/>
        </w:rPr>
        <w:t xml:space="preserve"> Y.Y. Evaluating the antioxidant status of weanling pigs fed dietary v</w:t>
      </w:r>
      <w:r w:rsidRPr="009E03E3">
        <w:rPr>
          <w:sz w:val="16"/>
          <w:szCs w:val="16"/>
          <w:lang w:val="en-US"/>
        </w:rPr>
        <w:t>i</w:t>
      </w:r>
      <w:r w:rsidRPr="009E03E3">
        <w:rPr>
          <w:sz w:val="16"/>
          <w:szCs w:val="16"/>
          <w:lang w:val="en-US"/>
        </w:rPr>
        <w:t>tamins A and E. / Y.Y. Kim</w:t>
      </w:r>
      <w:r>
        <w:rPr>
          <w:sz w:val="16"/>
          <w:szCs w:val="16"/>
          <w:lang w:val="en-US"/>
        </w:rPr>
        <w:t>, D.C. Mahan , T.G. Wiseman // Journal of Animal Science</w:t>
      </w:r>
      <w:r w:rsidRPr="00E62CD1">
        <w:rPr>
          <w:sz w:val="16"/>
          <w:szCs w:val="16"/>
          <w:lang w:val="en-US"/>
        </w:rPr>
        <w:t xml:space="preserve">, </w:t>
      </w:r>
      <w:r w:rsidRPr="009E03E3">
        <w:rPr>
          <w:sz w:val="16"/>
          <w:szCs w:val="16"/>
          <w:lang w:val="en-US"/>
        </w:rPr>
        <w:t>2002</w:t>
      </w:r>
      <w:r>
        <w:rPr>
          <w:sz w:val="16"/>
          <w:szCs w:val="16"/>
          <w:lang w:val="en-US"/>
        </w:rPr>
        <w:t>. - V</w:t>
      </w:r>
      <w:r w:rsidRPr="009E03E3">
        <w:rPr>
          <w:sz w:val="16"/>
          <w:szCs w:val="16"/>
          <w:lang w:val="en-US"/>
        </w:rPr>
        <w:t xml:space="preserve">ol.80. </w:t>
      </w:r>
      <w:proofErr w:type="gramStart"/>
      <w:r w:rsidRPr="009E03E3">
        <w:rPr>
          <w:sz w:val="16"/>
          <w:szCs w:val="16"/>
          <w:lang w:val="en-US"/>
        </w:rPr>
        <w:t xml:space="preserve">– </w:t>
      </w:r>
      <w:r w:rsidRPr="009E03E3">
        <w:rPr>
          <w:sz w:val="16"/>
          <w:szCs w:val="16"/>
        </w:rPr>
        <w:t>Р</w:t>
      </w:r>
      <w:r w:rsidRPr="009E03E3">
        <w:rPr>
          <w:sz w:val="16"/>
          <w:szCs w:val="16"/>
          <w:lang w:val="en-US"/>
        </w:rPr>
        <w:t>.</w:t>
      </w:r>
      <w:r w:rsidRPr="00E62CD1">
        <w:rPr>
          <w:sz w:val="16"/>
          <w:szCs w:val="16"/>
          <w:lang w:val="en-US"/>
        </w:rPr>
        <w:t xml:space="preserve"> </w:t>
      </w:r>
      <w:r w:rsidRPr="009E03E3">
        <w:rPr>
          <w:sz w:val="16"/>
          <w:szCs w:val="16"/>
          <w:lang w:val="en-US"/>
        </w:rPr>
        <w:t>2396 – 2401.</w:t>
      </w:r>
      <w:proofErr w:type="gramEnd"/>
    </w:p>
    <w:p w:rsidR="003911ED" w:rsidRPr="003911ED" w:rsidRDefault="003911ED" w:rsidP="003911ED">
      <w:pPr>
        <w:rPr>
          <w:sz w:val="20"/>
          <w:szCs w:val="20"/>
          <w:lang w:val="en-US"/>
        </w:rPr>
      </w:pPr>
    </w:p>
    <w:p w:rsidR="003911ED" w:rsidRPr="003911ED" w:rsidRDefault="003911ED" w:rsidP="003911ED">
      <w:pPr>
        <w:rPr>
          <w:sz w:val="20"/>
          <w:szCs w:val="20"/>
          <w:lang w:val="en-US"/>
        </w:rPr>
      </w:pPr>
    </w:p>
    <w:p w:rsidR="003911ED" w:rsidRPr="003911ED" w:rsidRDefault="003911ED" w:rsidP="003911ED">
      <w:pPr>
        <w:rPr>
          <w:sz w:val="20"/>
          <w:szCs w:val="20"/>
          <w:lang w:val="en-US"/>
        </w:rPr>
      </w:pPr>
    </w:p>
    <w:p w:rsidR="003911ED" w:rsidRPr="003911ED" w:rsidRDefault="003911ED" w:rsidP="003911ED">
      <w:pPr>
        <w:rPr>
          <w:sz w:val="20"/>
          <w:szCs w:val="20"/>
          <w:lang w:val="en-US"/>
        </w:rPr>
      </w:pPr>
    </w:p>
    <w:p w:rsidR="003911ED" w:rsidRPr="003911ED" w:rsidRDefault="003911ED" w:rsidP="003911ED">
      <w:pPr>
        <w:rPr>
          <w:sz w:val="20"/>
          <w:szCs w:val="20"/>
          <w:lang w:val="en-US"/>
        </w:rPr>
      </w:pPr>
    </w:p>
    <w:p w:rsidR="003911ED" w:rsidRPr="003911ED" w:rsidRDefault="003911ED" w:rsidP="003911ED">
      <w:pPr>
        <w:rPr>
          <w:sz w:val="20"/>
          <w:szCs w:val="20"/>
          <w:lang w:val="en-US"/>
        </w:rPr>
      </w:pPr>
    </w:p>
    <w:p w:rsidR="003911ED" w:rsidRPr="003911ED" w:rsidRDefault="003911ED" w:rsidP="003911ED">
      <w:pPr>
        <w:rPr>
          <w:sz w:val="20"/>
          <w:szCs w:val="20"/>
          <w:lang w:val="en-US"/>
        </w:rPr>
      </w:pPr>
    </w:p>
    <w:p w:rsidR="003911ED" w:rsidRPr="003911ED" w:rsidRDefault="003911ED" w:rsidP="003911ED">
      <w:pPr>
        <w:rPr>
          <w:sz w:val="20"/>
          <w:szCs w:val="20"/>
          <w:lang w:val="en-US"/>
        </w:rPr>
      </w:pPr>
    </w:p>
    <w:p w:rsidR="0068764B" w:rsidRPr="0060631B" w:rsidRDefault="0068764B" w:rsidP="00A2143F">
      <w:pPr>
        <w:rPr>
          <w:lang w:val="en-US"/>
        </w:rPr>
      </w:pPr>
    </w:p>
    <w:sectPr w:rsidR="0068764B" w:rsidRPr="0060631B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6D56F0"/>
    <w:multiLevelType w:val="hybridMultilevel"/>
    <w:tmpl w:val="3BC43BBA"/>
    <w:lvl w:ilvl="0" w:tplc="9A38D2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9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11ED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11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AngAx val="1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Лист1!$A$2:$C$2</c:f>
              <c:strCache>
                <c:ptCount val="3"/>
                <c:pt idx="0">
                  <c:v>1 группа (контроль)</c:v>
                </c:pt>
                <c:pt idx="1">
                  <c:v>2 группа (Selenium yeast)</c:v>
                </c:pt>
                <c:pt idx="2">
                  <c:v>3 группа (селенопиран)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1.1111111111111221E-2"/>
                  <c:y val="-2.7777777777777832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*</a:t>
                    </a:r>
                    <a:endParaRPr lang="en-US" sz="1200" baseline="30000"/>
                  </a:p>
                </c:rich>
              </c:tx>
              <c:showVal val="1"/>
            </c:dLbl>
            <c:showVal val="1"/>
          </c:dLbls>
          <c:cat>
            <c:strRef>
              <c:f>Лист1!$A$2:$C$2</c:f>
              <c:strCache>
                <c:ptCount val="3"/>
                <c:pt idx="0">
                  <c:v>1 группа (контроль)</c:v>
                </c:pt>
                <c:pt idx="1">
                  <c:v>2 группа (Selenium yeast)</c:v>
                </c:pt>
                <c:pt idx="2">
                  <c:v>3 группа (селенопиран)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0.37000000000000011</c:v>
                </c:pt>
                <c:pt idx="1">
                  <c:v>0.41000000000000009</c:v>
                </c:pt>
                <c:pt idx="2">
                  <c:v>0.56000000000000005</c:v>
                </c:pt>
              </c:numCache>
            </c:numRef>
          </c:val>
        </c:ser>
        <c:dLbls>
          <c:showVal val="1"/>
        </c:dLbls>
        <c:gapWidth val="75"/>
        <c:shape val="cylinder"/>
        <c:axId val="236158976"/>
        <c:axId val="236160512"/>
        <c:axId val="0"/>
      </c:bar3DChart>
      <c:catAx>
        <c:axId val="236158976"/>
        <c:scaling>
          <c:orientation val="minMax"/>
        </c:scaling>
        <c:axPos val="b"/>
        <c:majorTickMark val="none"/>
        <c:tickLblPos val="nextTo"/>
        <c:crossAx val="236160512"/>
        <c:crosses val="autoZero"/>
        <c:auto val="1"/>
        <c:lblAlgn val="ctr"/>
        <c:lblOffset val="100"/>
      </c:catAx>
      <c:valAx>
        <c:axId val="236160512"/>
        <c:scaling>
          <c:orientation val="minMax"/>
        </c:scaling>
        <c:axPos val="l"/>
        <c:numFmt formatCode="General" sourceLinked="1"/>
        <c:majorTickMark val="none"/>
        <c:tickLblPos val="nextTo"/>
        <c:crossAx val="23615897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AngAx val="1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Лист1!$A$2:$C$2</c:f>
              <c:strCache>
                <c:ptCount val="3"/>
                <c:pt idx="0">
                  <c:v>1 группа (контроль)</c:v>
                </c:pt>
                <c:pt idx="1">
                  <c:v>2 группа (Selenium yeast)</c:v>
                </c:pt>
                <c:pt idx="2">
                  <c:v>3 группа (селенопиран)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dLbl>
              <c:idx val="0"/>
              <c:delete val="1"/>
            </c:dLbl>
            <c:dLbl>
              <c:idx val="1"/>
              <c:layout>
                <c:manualLayout>
                  <c:x val="1.11111111111111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*</a:t>
                    </a:r>
                    <a:endParaRPr lang="en-US" sz="1200"/>
                  </a:p>
                </c:rich>
              </c:tx>
              <c:showVal val="1"/>
            </c:dLbl>
            <c:dLbl>
              <c:idx val="2"/>
              <c:layout>
                <c:manualLayout>
                  <c:x val="1.1111111111111221E-2"/>
                  <c:y val="-2.7777777777777832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*</a:t>
                    </a:r>
                    <a:r>
                      <a:rPr lang="en-US" sz="1200" baseline="30000"/>
                      <a:t>#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Лист1!$A$2:$C$2</c:f>
              <c:strCache>
                <c:ptCount val="3"/>
                <c:pt idx="0">
                  <c:v>1 группа (контроль)</c:v>
                </c:pt>
                <c:pt idx="1">
                  <c:v>2 группа (Selenium yeast)</c:v>
                </c:pt>
                <c:pt idx="2">
                  <c:v>3 группа (селенопиран)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2.34</c:v>
                </c:pt>
                <c:pt idx="1">
                  <c:v>1.79</c:v>
                </c:pt>
                <c:pt idx="2">
                  <c:v>1.07</c:v>
                </c:pt>
              </c:numCache>
            </c:numRef>
          </c:val>
        </c:ser>
        <c:dLbls>
          <c:showVal val="1"/>
        </c:dLbls>
        <c:gapWidth val="75"/>
        <c:shape val="cylinder"/>
        <c:axId val="236845312"/>
        <c:axId val="251920384"/>
        <c:axId val="0"/>
      </c:bar3DChart>
      <c:catAx>
        <c:axId val="236845312"/>
        <c:scaling>
          <c:orientation val="minMax"/>
        </c:scaling>
        <c:axPos val="b"/>
        <c:majorTickMark val="none"/>
        <c:tickLblPos val="nextTo"/>
        <c:crossAx val="251920384"/>
        <c:crosses val="autoZero"/>
        <c:auto val="1"/>
        <c:lblAlgn val="ctr"/>
        <c:lblOffset val="100"/>
      </c:catAx>
      <c:valAx>
        <c:axId val="251920384"/>
        <c:scaling>
          <c:orientation val="minMax"/>
        </c:scaling>
        <c:axPos val="l"/>
        <c:numFmt formatCode="General" sourceLinked="1"/>
        <c:majorTickMark val="none"/>
        <c:tickLblPos val="nextTo"/>
        <c:crossAx val="23684531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AngAx val="1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Лист1!$A$2:$C$2</c:f>
              <c:strCache>
                <c:ptCount val="3"/>
                <c:pt idx="0">
                  <c:v>1 группа (контроль)</c:v>
                </c:pt>
                <c:pt idx="1">
                  <c:v>2 группа (Selenium yeast)</c:v>
                </c:pt>
                <c:pt idx="2">
                  <c:v>3 группа (селенопиран)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Лист1!$A$2:$C$2</c:f>
              <c:strCache>
                <c:ptCount val="3"/>
                <c:pt idx="0">
                  <c:v>1 группа (контроль)</c:v>
                </c:pt>
                <c:pt idx="1">
                  <c:v>2 группа (Selenium yeast)</c:v>
                </c:pt>
                <c:pt idx="2">
                  <c:v>3 группа (селенопиран)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7.29</c:v>
                </c:pt>
                <c:pt idx="1">
                  <c:v>9.49</c:v>
                </c:pt>
                <c:pt idx="2">
                  <c:v>10.92</c:v>
                </c:pt>
              </c:numCache>
            </c:numRef>
          </c:val>
        </c:ser>
        <c:dLbls>
          <c:showVal val="1"/>
        </c:dLbls>
        <c:gapWidth val="75"/>
        <c:shape val="cylinder"/>
        <c:axId val="253290368"/>
        <c:axId val="253291904"/>
        <c:axId val="0"/>
      </c:bar3DChart>
      <c:catAx>
        <c:axId val="253290368"/>
        <c:scaling>
          <c:orientation val="minMax"/>
        </c:scaling>
        <c:axPos val="b"/>
        <c:majorTickMark val="none"/>
        <c:tickLblPos val="nextTo"/>
        <c:crossAx val="253291904"/>
        <c:crosses val="autoZero"/>
        <c:auto val="1"/>
        <c:lblAlgn val="ctr"/>
        <c:lblOffset val="100"/>
      </c:catAx>
      <c:valAx>
        <c:axId val="253291904"/>
        <c:scaling>
          <c:orientation val="minMax"/>
        </c:scaling>
        <c:axPos val="l"/>
        <c:numFmt formatCode="General" sourceLinked="1"/>
        <c:majorTickMark val="none"/>
        <c:tickLblPos val="nextTo"/>
        <c:crossAx val="2532903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AngAx val="1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Лист1!$A$2:$C$2</c:f>
              <c:strCache>
                <c:ptCount val="3"/>
                <c:pt idx="0">
                  <c:v>1 группа (контроль)</c:v>
                </c:pt>
                <c:pt idx="1">
                  <c:v>2 группа (Selenium yeast)</c:v>
                </c:pt>
                <c:pt idx="2">
                  <c:v>3 группа (селенопиран)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pPr lvl="4" algn="ctr" rtl="0"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*</a:t>
                    </a:r>
                    <a:r>
                      <a:rPr lang="en-US" sz="1200" baseline="30000"/>
                      <a:t>#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Лист1!$A$2:$C$2</c:f>
              <c:strCache>
                <c:ptCount val="3"/>
                <c:pt idx="0">
                  <c:v>1 группа (контроль)</c:v>
                </c:pt>
                <c:pt idx="1">
                  <c:v>2 группа (Selenium yeast)</c:v>
                </c:pt>
                <c:pt idx="2">
                  <c:v>3 группа (селенопиран)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55.65</c:v>
                </c:pt>
                <c:pt idx="1">
                  <c:v>50.720000000000013</c:v>
                </c:pt>
                <c:pt idx="2">
                  <c:v>47.83</c:v>
                </c:pt>
              </c:numCache>
            </c:numRef>
          </c:val>
        </c:ser>
        <c:dLbls>
          <c:showVal val="1"/>
        </c:dLbls>
        <c:gapWidth val="75"/>
        <c:shape val="cylinder"/>
        <c:axId val="76124928"/>
        <c:axId val="76126464"/>
        <c:axId val="0"/>
      </c:bar3DChart>
      <c:catAx>
        <c:axId val="76124928"/>
        <c:scaling>
          <c:orientation val="minMax"/>
        </c:scaling>
        <c:axPos val="b"/>
        <c:majorTickMark val="none"/>
        <c:tickLblPos val="nextTo"/>
        <c:crossAx val="76126464"/>
        <c:crosses val="autoZero"/>
        <c:auto val="1"/>
        <c:lblAlgn val="ctr"/>
        <c:lblOffset val="100"/>
      </c:catAx>
      <c:valAx>
        <c:axId val="76126464"/>
        <c:scaling>
          <c:orientation val="minMax"/>
        </c:scaling>
        <c:axPos val="l"/>
        <c:numFmt formatCode="General" sourceLinked="1"/>
        <c:majorTickMark val="none"/>
        <c:tickLblPos val="nextTo"/>
        <c:crossAx val="76124928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2455</Words>
  <Characters>13998</Characters>
  <Application>Microsoft Office Word</Application>
  <DocSecurity>0</DocSecurity>
  <Lines>116</Lines>
  <Paragraphs>32</Paragraphs>
  <ScaleCrop>false</ScaleCrop>
  <Company>Microsoft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2013-03-14T12:57:00Z</dcterms:created>
  <dcterms:modified xsi:type="dcterms:W3CDTF">2013-03-14T12:57:00Z</dcterms:modified>
</cp:coreProperties>
</file>