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70" w:rsidRPr="0044651F" w:rsidRDefault="004B0A70" w:rsidP="004B0A70">
      <w:pPr>
        <w:rPr>
          <w:color w:val="000000"/>
          <w:sz w:val="20"/>
          <w:szCs w:val="20"/>
        </w:rPr>
      </w:pPr>
      <w:r w:rsidRPr="0044651F">
        <w:rPr>
          <w:color w:val="000000"/>
          <w:sz w:val="20"/>
          <w:szCs w:val="20"/>
        </w:rPr>
        <w:t xml:space="preserve">УДК 619:623.74:619:624 </w:t>
      </w:r>
    </w:p>
    <w:p w:rsidR="004B0A70" w:rsidRDefault="004B0A70" w:rsidP="004B0A70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ОЦЕНКА ПРОФИЛАКТИЧЕСКОЙ ЭФФЕКТИВОСТИ ГОРЦА ЗМЕИНОГО ПРИ ДИСПЕПСИИ НОВОРО</w:t>
      </w:r>
      <w:r>
        <w:rPr>
          <w:b/>
          <w:sz w:val="20"/>
          <w:szCs w:val="20"/>
        </w:rPr>
        <w:t>Ж</w:t>
      </w:r>
      <w:r>
        <w:rPr>
          <w:b/>
          <w:sz w:val="20"/>
          <w:szCs w:val="20"/>
        </w:rPr>
        <w:t>ДЕННЫХ ТЕЛЯТ</w:t>
      </w:r>
      <w:proofErr w:type="gramEnd"/>
    </w:p>
    <w:p w:rsidR="004B0A70" w:rsidRDefault="004B0A70" w:rsidP="004B0A7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А.П. Харитонов, В.М. Зень, </w:t>
      </w:r>
      <w:r w:rsidRPr="00B503D3">
        <w:rPr>
          <w:b/>
          <w:sz w:val="20"/>
          <w:szCs w:val="20"/>
        </w:rPr>
        <w:t>Н.В</w:t>
      </w:r>
      <w:r w:rsidRPr="006E55A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Pr="00B503D3">
        <w:rPr>
          <w:b/>
          <w:sz w:val="20"/>
          <w:szCs w:val="20"/>
        </w:rPr>
        <w:t xml:space="preserve">Зень </w:t>
      </w:r>
    </w:p>
    <w:p w:rsidR="004B0A70" w:rsidRPr="001A34FE" w:rsidRDefault="004B0A70" w:rsidP="004B0A70">
      <w:pPr>
        <w:rPr>
          <w:sz w:val="20"/>
          <w:szCs w:val="20"/>
        </w:rPr>
      </w:pPr>
      <w:r>
        <w:rPr>
          <w:sz w:val="20"/>
          <w:szCs w:val="20"/>
        </w:rPr>
        <w:t xml:space="preserve">УО «Гродненский государственный аграрный университет», </w:t>
      </w:r>
    </w:p>
    <w:p w:rsidR="004B0A70" w:rsidRDefault="004B0A70" w:rsidP="004B0A70">
      <w:pPr>
        <w:rPr>
          <w:sz w:val="20"/>
          <w:szCs w:val="20"/>
        </w:rPr>
      </w:pPr>
      <w:r>
        <w:rPr>
          <w:sz w:val="20"/>
          <w:szCs w:val="20"/>
        </w:rPr>
        <w:t>г</w:t>
      </w:r>
      <w:r w:rsidRPr="009A0306">
        <w:rPr>
          <w:sz w:val="20"/>
          <w:szCs w:val="20"/>
        </w:rPr>
        <w:t xml:space="preserve">. </w:t>
      </w:r>
      <w:r>
        <w:rPr>
          <w:sz w:val="20"/>
          <w:szCs w:val="20"/>
        </w:rPr>
        <w:t>Гродно, Республика Беларусь</w:t>
      </w:r>
    </w:p>
    <w:p w:rsidR="004B0A70" w:rsidRDefault="004B0A70" w:rsidP="004B0A70">
      <w:pPr>
        <w:rPr>
          <w:sz w:val="20"/>
          <w:szCs w:val="20"/>
        </w:rPr>
      </w:pPr>
    </w:p>
    <w:p w:rsidR="004B0A70" w:rsidRPr="008804B9" w:rsidRDefault="004B0A70" w:rsidP="004B0A70">
      <w:pPr>
        <w:jc w:val="center"/>
        <w:rPr>
          <w:i/>
          <w:sz w:val="16"/>
          <w:szCs w:val="16"/>
        </w:rPr>
      </w:pPr>
      <w:r w:rsidRPr="008804B9">
        <w:rPr>
          <w:i/>
          <w:sz w:val="16"/>
          <w:szCs w:val="16"/>
        </w:rPr>
        <w:t>(Поступила в редакцию 0</w:t>
      </w:r>
      <w:r>
        <w:rPr>
          <w:i/>
          <w:sz w:val="16"/>
          <w:szCs w:val="16"/>
        </w:rPr>
        <w:t>3</w:t>
      </w:r>
      <w:r w:rsidRPr="008804B9">
        <w:rPr>
          <w:i/>
          <w:sz w:val="16"/>
          <w:szCs w:val="16"/>
        </w:rPr>
        <w:t>.06.2010 г.)</w:t>
      </w:r>
    </w:p>
    <w:p w:rsidR="004B0A70" w:rsidRDefault="004B0A70" w:rsidP="004B0A70">
      <w:pPr>
        <w:rPr>
          <w:sz w:val="20"/>
          <w:szCs w:val="20"/>
        </w:rPr>
      </w:pPr>
    </w:p>
    <w:p w:rsidR="004B0A70" w:rsidRPr="00124A9D" w:rsidRDefault="004B0A70" w:rsidP="004B0A70">
      <w:pPr>
        <w:ind w:firstLine="284"/>
        <w:jc w:val="both"/>
        <w:rPr>
          <w:i/>
          <w:sz w:val="16"/>
          <w:szCs w:val="16"/>
        </w:rPr>
      </w:pPr>
      <w:r w:rsidRPr="00124A9D">
        <w:rPr>
          <w:b/>
          <w:i/>
          <w:sz w:val="16"/>
          <w:szCs w:val="16"/>
        </w:rPr>
        <w:t xml:space="preserve">Аннотация. </w:t>
      </w:r>
      <w:r w:rsidRPr="00124A9D">
        <w:rPr>
          <w:i/>
          <w:sz w:val="16"/>
          <w:szCs w:val="16"/>
        </w:rPr>
        <w:t>Изучена эффективность использования настоя горца змеиного в целях профилактики желудочно-кишечных заболеваний новорожденных телят. Исследов</w:t>
      </w:r>
      <w:r w:rsidRPr="00124A9D">
        <w:rPr>
          <w:i/>
          <w:sz w:val="16"/>
          <w:szCs w:val="16"/>
        </w:rPr>
        <w:t>а</w:t>
      </w:r>
      <w:r w:rsidRPr="00124A9D">
        <w:rPr>
          <w:i/>
          <w:sz w:val="16"/>
          <w:szCs w:val="16"/>
        </w:rPr>
        <w:t>ниями установлено, что применение настоя горца змеиного телятам профилакторного периода способствует нормализации гематологических и биохимических показателей, ускоряет сроки вы</w:t>
      </w:r>
      <w:r>
        <w:rPr>
          <w:i/>
          <w:sz w:val="16"/>
          <w:szCs w:val="16"/>
        </w:rPr>
        <w:t>здоровления животных на 3-4 сут</w:t>
      </w:r>
      <w:r w:rsidRPr="00124A9D">
        <w:rPr>
          <w:i/>
          <w:sz w:val="16"/>
          <w:szCs w:val="16"/>
        </w:rPr>
        <w:t>к</w:t>
      </w:r>
      <w:r>
        <w:rPr>
          <w:i/>
          <w:sz w:val="16"/>
          <w:szCs w:val="16"/>
        </w:rPr>
        <w:t>и</w:t>
      </w:r>
      <w:r w:rsidRPr="00124A9D">
        <w:rPr>
          <w:i/>
          <w:sz w:val="16"/>
          <w:szCs w:val="16"/>
        </w:rPr>
        <w:t xml:space="preserve"> и повышает эффе</w:t>
      </w:r>
      <w:r w:rsidRPr="00124A9D">
        <w:rPr>
          <w:i/>
          <w:sz w:val="16"/>
          <w:szCs w:val="16"/>
        </w:rPr>
        <w:t>к</w:t>
      </w:r>
      <w:r w:rsidRPr="00124A9D">
        <w:rPr>
          <w:i/>
          <w:sz w:val="16"/>
          <w:szCs w:val="16"/>
        </w:rPr>
        <w:t>тивность лечения.</w:t>
      </w:r>
    </w:p>
    <w:p w:rsidR="004B0A70" w:rsidRPr="00124A9D" w:rsidRDefault="004B0A70" w:rsidP="004B0A70">
      <w:pPr>
        <w:ind w:firstLine="284"/>
        <w:jc w:val="both"/>
        <w:rPr>
          <w:i/>
          <w:iCs/>
          <w:sz w:val="16"/>
          <w:szCs w:val="16"/>
          <w:lang w:val="en-US"/>
        </w:rPr>
      </w:pPr>
      <w:proofErr w:type="gramStart"/>
      <w:r w:rsidRPr="00124A9D">
        <w:rPr>
          <w:b/>
          <w:bCs/>
          <w:i/>
          <w:iCs/>
          <w:sz w:val="16"/>
          <w:szCs w:val="16"/>
          <w:lang w:val="en-US"/>
        </w:rPr>
        <w:t>Summary.</w:t>
      </w:r>
      <w:proofErr w:type="gramEnd"/>
      <w:r w:rsidRPr="00124A9D">
        <w:rPr>
          <w:i/>
          <w:iCs/>
          <w:sz w:val="16"/>
          <w:szCs w:val="16"/>
          <w:lang w:val="en-US"/>
        </w:rPr>
        <w:t xml:space="preserve"> Was investigated efficiency of use infusion snakeweed (Polygonum bistorta) with a view of preventive maintenance of gastroenteric diseases of newborns </w:t>
      </w:r>
      <w:proofErr w:type="gramStart"/>
      <w:r w:rsidRPr="00124A9D">
        <w:rPr>
          <w:i/>
          <w:iCs/>
          <w:sz w:val="16"/>
          <w:szCs w:val="16"/>
          <w:lang w:val="en-US"/>
        </w:rPr>
        <w:t>calves.</w:t>
      </w:r>
      <w:proofErr w:type="gramEnd"/>
      <w:r w:rsidRPr="00124A9D">
        <w:rPr>
          <w:i/>
          <w:iCs/>
          <w:sz w:val="16"/>
          <w:szCs w:val="16"/>
          <w:lang w:val="en-US"/>
        </w:rPr>
        <w:t xml:space="preserve"> By researches it is established, that application infusion snakeweed for calves of preventorium period promotes no</w:t>
      </w:r>
      <w:r w:rsidRPr="00124A9D">
        <w:rPr>
          <w:i/>
          <w:iCs/>
          <w:sz w:val="16"/>
          <w:szCs w:val="16"/>
          <w:lang w:val="en-US"/>
        </w:rPr>
        <w:t>r</w:t>
      </w:r>
      <w:r w:rsidRPr="00124A9D">
        <w:rPr>
          <w:i/>
          <w:iCs/>
          <w:sz w:val="16"/>
          <w:szCs w:val="16"/>
          <w:lang w:val="en-US"/>
        </w:rPr>
        <w:t xml:space="preserve">malization </w:t>
      </w:r>
      <w:r w:rsidRPr="00124A9D">
        <w:rPr>
          <w:i/>
          <w:iCs/>
          <w:sz w:val="16"/>
          <w:szCs w:val="16"/>
        </w:rPr>
        <w:t>г</w:t>
      </w:r>
      <w:r w:rsidRPr="00124A9D">
        <w:rPr>
          <w:i/>
          <w:iCs/>
          <w:sz w:val="16"/>
          <w:szCs w:val="16"/>
          <w:lang w:val="en-US"/>
        </w:rPr>
        <w:t>hematologic and biochemical parameters, accelerates terms of recovery of animals for 3-4 day and raises efficiency of treatment.</w:t>
      </w:r>
    </w:p>
    <w:p w:rsidR="004B0A70" w:rsidRPr="00753C36" w:rsidRDefault="004B0A70" w:rsidP="004B0A70">
      <w:pPr>
        <w:ind w:firstLine="284"/>
        <w:jc w:val="both"/>
        <w:rPr>
          <w:i/>
          <w:iCs/>
          <w:sz w:val="20"/>
          <w:szCs w:val="20"/>
          <w:lang w:val="en-US"/>
        </w:rPr>
      </w:pPr>
    </w:p>
    <w:p w:rsidR="004B0A70" w:rsidRPr="001C576D" w:rsidRDefault="004B0A70" w:rsidP="004B0A70">
      <w:pPr>
        <w:ind w:firstLine="284"/>
        <w:jc w:val="both"/>
        <w:rPr>
          <w:sz w:val="20"/>
          <w:szCs w:val="20"/>
        </w:rPr>
      </w:pPr>
      <w:r w:rsidRPr="001C576D">
        <w:rPr>
          <w:b/>
          <w:sz w:val="20"/>
          <w:szCs w:val="20"/>
        </w:rPr>
        <w:t xml:space="preserve">Введение. </w:t>
      </w:r>
      <w:r w:rsidRPr="001C576D">
        <w:rPr>
          <w:sz w:val="20"/>
          <w:szCs w:val="20"/>
        </w:rPr>
        <w:t>Среди незаразных заболеваний молодняка крупного р</w:t>
      </w:r>
      <w:r w:rsidRPr="001C576D">
        <w:rPr>
          <w:sz w:val="20"/>
          <w:szCs w:val="20"/>
        </w:rPr>
        <w:t>о</w:t>
      </w:r>
      <w:r w:rsidRPr="001C576D">
        <w:rPr>
          <w:sz w:val="20"/>
          <w:szCs w:val="20"/>
        </w:rPr>
        <w:t>гатого скота в промышленном животноводстве ведущее место занимают патологии, сопровождающиеся расстройством пищеварения. Пот</w:t>
      </w:r>
      <w:r w:rsidRPr="001C576D">
        <w:rPr>
          <w:sz w:val="20"/>
          <w:szCs w:val="20"/>
        </w:rPr>
        <w:t>е</w:t>
      </w:r>
      <w:r w:rsidRPr="001C576D">
        <w:rPr>
          <w:sz w:val="20"/>
          <w:szCs w:val="20"/>
        </w:rPr>
        <w:t>ри от снижения продуктивности и падежа животных, а также затраты на проведение лечеб</w:t>
      </w:r>
      <w:r>
        <w:rPr>
          <w:sz w:val="20"/>
          <w:szCs w:val="20"/>
        </w:rPr>
        <w:t>но-профилактических мероприятий</w:t>
      </w:r>
      <w:r w:rsidRPr="001C576D">
        <w:rPr>
          <w:sz w:val="20"/>
          <w:szCs w:val="20"/>
        </w:rPr>
        <w:t xml:space="preserve"> резко снижают рентабельность отрасли [1,</w:t>
      </w:r>
      <w:r>
        <w:rPr>
          <w:sz w:val="20"/>
          <w:szCs w:val="20"/>
        </w:rPr>
        <w:t xml:space="preserve"> </w:t>
      </w:r>
      <w:r w:rsidRPr="001C576D">
        <w:rPr>
          <w:sz w:val="20"/>
          <w:szCs w:val="20"/>
        </w:rPr>
        <w:t>2]. В настоящее время в условиях инте</w:t>
      </w:r>
      <w:r w:rsidRPr="001C576D">
        <w:rPr>
          <w:sz w:val="20"/>
          <w:szCs w:val="20"/>
        </w:rPr>
        <w:t>н</w:t>
      </w:r>
      <w:r w:rsidRPr="001C576D">
        <w:rPr>
          <w:sz w:val="20"/>
          <w:szCs w:val="20"/>
        </w:rPr>
        <w:t>си</w:t>
      </w:r>
      <w:r>
        <w:rPr>
          <w:sz w:val="20"/>
          <w:szCs w:val="20"/>
        </w:rPr>
        <w:t>вной эксплуатации животных</w:t>
      </w:r>
      <w:r w:rsidRPr="001C576D">
        <w:rPr>
          <w:sz w:val="20"/>
          <w:szCs w:val="20"/>
        </w:rPr>
        <w:t xml:space="preserve"> приобретают особую актуальность вопросы, связанные с повышением неспецифической устойчивости организма к различным заболеваниям. Основными причинами масс</w:t>
      </w:r>
      <w:r w:rsidRPr="001C576D">
        <w:rPr>
          <w:sz w:val="20"/>
          <w:szCs w:val="20"/>
        </w:rPr>
        <w:t>о</w:t>
      </w:r>
      <w:r w:rsidRPr="001C576D">
        <w:rPr>
          <w:sz w:val="20"/>
          <w:szCs w:val="20"/>
        </w:rPr>
        <w:t>вых заболеваний и падежа молодняка является снижение естественной резистентности организма вследствие скармливания беременным ж</w:t>
      </w:r>
      <w:r w:rsidRPr="001C576D">
        <w:rPr>
          <w:sz w:val="20"/>
          <w:szCs w:val="20"/>
        </w:rPr>
        <w:t>и</w:t>
      </w:r>
      <w:r w:rsidRPr="001C576D">
        <w:rPr>
          <w:sz w:val="20"/>
          <w:szCs w:val="20"/>
        </w:rPr>
        <w:t>вотным кормов плохого качества (особенно в зимне-весенний период), несбалансирова</w:t>
      </w:r>
      <w:r w:rsidRPr="001C576D">
        <w:rPr>
          <w:sz w:val="20"/>
          <w:szCs w:val="20"/>
        </w:rPr>
        <w:t>н</w:t>
      </w:r>
      <w:r w:rsidRPr="001C576D">
        <w:rPr>
          <w:sz w:val="20"/>
          <w:szCs w:val="20"/>
        </w:rPr>
        <w:t>ность рациона по основным питательным веществам, нарушения условий содержания.</w:t>
      </w:r>
    </w:p>
    <w:p w:rsidR="004B0A70" w:rsidRPr="001C576D" w:rsidRDefault="004B0A70" w:rsidP="004B0A70">
      <w:pPr>
        <w:ind w:firstLine="284"/>
        <w:jc w:val="both"/>
        <w:rPr>
          <w:sz w:val="20"/>
          <w:szCs w:val="20"/>
        </w:rPr>
      </w:pPr>
      <w:r w:rsidRPr="001C576D">
        <w:rPr>
          <w:sz w:val="20"/>
          <w:szCs w:val="20"/>
        </w:rPr>
        <w:t>В настоящее время в ветеринарной практике все более широкое применение находит использование для профилактики и лечения различных заболеваний лекарственных растений. Препараты растительного прои</w:t>
      </w:r>
      <w:r w:rsidRPr="001C576D">
        <w:rPr>
          <w:sz w:val="20"/>
          <w:szCs w:val="20"/>
        </w:rPr>
        <w:t>с</w:t>
      </w:r>
      <w:r w:rsidRPr="001C576D">
        <w:rPr>
          <w:sz w:val="20"/>
          <w:szCs w:val="20"/>
        </w:rPr>
        <w:t xml:space="preserve">хождения среди средств лечения и профилактики </w:t>
      </w:r>
      <w:proofErr w:type="gramStart"/>
      <w:r w:rsidRPr="001C576D">
        <w:rPr>
          <w:sz w:val="20"/>
          <w:szCs w:val="20"/>
        </w:rPr>
        <w:t>сердечно-сосудистых</w:t>
      </w:r>
      <w:proofErr w:type="gramEnd"/>
      <w:r w:rsidRPr="001C576D">
        <w:rPr>
          <w:sz w:val="20"/>
          <w:szCs w:val="20"/>
        </w:rPr>
        <w:t xml:space="preserve"> заболеваний составляют 80%, заболеваний печени и желудочно-кишечного тракта – 70% и т.д. Корневища горца змеиного (</w:t>
      </w:r>
      <w:r w:rsidRPr="001C576D">
        <w:rPr>
          <w:sz w:val="20"/>
          <w:szCs w:val="20"/>
          <w:lang w:val="en-US"/>
        </w:rPr>
        <w:t>Pol</w:t>
      </w:r>
      <w:r w:rsidRPr="001C576D">
        <w:rPr>
          <w:sz w:val="20"/>
          <w:szCs w:val="20"/>
          <w:lang w:val="en-US"/>
        </w:rPr>
        <w:t>y</w:t>
      </w:r>
      <w:r w:rsidRPr="001C576D">
        <w:rPr>
          <w:sz w:val="20"/>
          <w:szCs w:val="20"/>
          <w:lang w:val="en-US"/>
        </w:rPr>
        <w:t>gonum</w:t>
      </w:r>
      <w:r w:rsidRPr="001C576D">
        <w:rPr>
          <w:sz w:val="20"/>
          <w:szCs w:val="20"/>
        </w:rPr>
        <w:t xml:space="preserve"> </w:t>
      </w:r>
      <w:r w:rsidRPr="001C576D">
        <w:rPr>
          <w:sz w:val="20"/>
          <w:szCs w:val="20"/>
          <w:lang w:val="en-US"/>
        </w:rPr>
        <w:t>bistorta</w:t>
      </w:r>
      <w:r w:rsidRPr="001C576D">
        <w:rPr>
          <w:sz w:val="20"/>
          <w:szCs w:val="20"/>
        </w:rPr>
        <w:t xml:space="preserve"> </w:t>
      </w:r>
      <w:r w:rsidRPr="001C576D">
        <w:rPr>
          <w:sz w:val="20"/>
          <w:szCs w:val="20"/>
          <w:lang w:val="en-US"/>
        </w:rPr>
        <w:t>L</w:t>
      </w:r>
      <w:r w:rsidRPr="001C576D">
        <w:rPr>
          <w:sz w:val="20"/>
          <w:szCs w:val="20"/>
        </w:rPr>
        <w:t>.) содержат дубильные и красящие вещества, эллаговую и га</w:t>
      </w:r>
      <w:r w:rsidRPr="001C576D">
        <w:rPr>
          <w:sz w:val="20"/>
          <w:szCs w:val="20"/>
        </w:rPr>
        <w:t>л</w:t>
      </w:r>
      <w:r w:rsidRPr="001C576D">
        <w:rPr>
          <w:sz w:val="20"/>
          <w:szCs w:val="20"/>
        </w:rPr>
        <w:t>ловую кислоты, крахмал, глюкозу и целый ряд витаминов. Препараты змеевика малотоксичны и обладают вяжущими свойствами, которые проявляются медленно, по мере расщепления действу</w:t>
      </w:r>
      <w:r w:rsidRPr="001C576D">
        <w:rPr>
          <w:sz w:val="20"/>
          <w:szCs w:val="20"/>
        </w:rPr>
        <w:t>ю</w:t>
      </w:r>
      <w:r w:rsidRPr="001C576D">
        <w:rPr>
          <w:sz w:val="20"/>
          <w:szCs w:val="20"/>
        </w:rPr>
        <w:t>щих веществ под влиянием пищеварительных соков [3,</w:t>
      </w:r>
      <w:r>
        <w:rPr>
          <w:sz w:val="20"/>
          <w:szCs w:val="20"/>
        </w:rPr>
        <w:t xml:space="preserve"> </w:t>
      </w:r>
      <w:r w:rsidRPr="001C576D">
        <w:rPr>
          <w:sz w:val="20"/>
          <w:szCs w:val="20"/>
        </w:rPr>
        <w:t>4,</w:t>
      </w:r>
      <w:r>
        <w:rPr>
          <w:sz w:val="20"/>
          <w:szCs w:val="20"/>
        </w:rPr>
        <w:t xml:space="preserve"> </w:t>
      </w:r>
      <w:r w:rsidRPr="001C576D">
        <w:rPr>
          <w:sz w:val="20"/>
          <w:szCs w:val="20"/>
        </w:rPr>
        <w:t>5].</w:t>
      </w:r>
    </w:p>
    <w:p w:rsidR="004B0A70" w:rsidRPr="001C576D" w:rsidRDefault="004B0A70" w:rsidP="004B0A70">
      <w:pPr>
        <w:ind w:firstLine="284"/>
        <w:jc w:val="both"/>
        <w:rPr>
          <w:sz w:val="20"/>
          <w:szCs w:val="20"/>
        </w:rPr>
      </w:pPr>
      <w:r w:rsidRPr="001C576D">
        <w:rPr>
          <w:b/>
          <w:sz w:val="20"/>
          <w:szCs w:val="20"/>
        </w:rPr>
        <w:t>Цель работы.</w:t>
      </w:r>
      <w:r>
        <w:rPr>
          <w:sz w:val="20"/>
          <w:szCs w:val="20"/>
        </w:rPr>
        <w:t xml:space="preserve"> Целью наших исследований было изучение</w:t>
      </w:r>
      <w:r w:rsidRPr="001C576D">
        <w:rPr>
          <w:sz w:val="20"/>
          <w:szCs w:val="20"/>
        </w:rPr>
        <w:t xml:space="preserve"> возмо</w:t>
      </w:r>
      <w:r w:rsidRPr="001C576D">
        <w:rPr>
          <w:sz w:val="20"/>
          <w:szCs w:val="20"/>
        </w:rPr>
        <w:t>ж</w:t>
      </w:r>
      <w:r w:rsidRPr="001C576D">
        <w:rPr>
          <w:sz w:val="20"/>
          <w:szCs w:val="20"/>
        </w:rPr>
        <w:t>ности использования с лечебной целью настоя горца змеиного при ж</w:t>
      </w:r>
      <w:r w:rsidRPr="001C576D">
        <w:rPr>
          <w:sz w:val="20"/>
          <w:szCs w:val="20"/>
        </w:rPr>
        <w:t>е</w:t>
      </w:r>
      <w:r w:rsidRPr="001C576D">
        <w:rPr>
          <w:sz w:val="20"/>
          <w:szCs w:val="20"/>
        </w:rPr>
        <w:t>лудочно-кишечных расстройствах телят.</w:t>
      </w:r>
    </w:p>
    <w:p w:rsidR="004B0A70" w:rsidRPr="001C576D" w:rsidRDefault="004B0A70" w:rsidP="004B0A70">
      <w:pPr>
        <w:ind w:firstLine="284"/>
        <w:jc w:val="both"/>
        <w:rPr>
          <w:sz w:val="20"/>
          <w:szCs w:val="20"/>
        </w:rPr>
      </w:pPr>
      <w:r w:rsidRPr="001C576D">
        <w:rPr>
          <w:b/>
          <w:sz w:val="20"/>
          <w:szCs w:val="20"/>
        </w:rPr>
        <w:t>Материал и методика исследований.</w:t>
      </w:r>
      <w:r w:rsidRPr="001C576D">
        <w:rPr>
          <w:sz w:val="20"/>
          <w:szCs w:val="20"/>
        </w:rPr>
        <w:t xml:space="preserve"> Для решения поставленной задачи научно-производственные исследования осуществлялись на молочно-товарном комплексе «Песчанка» ЧСУП «Скидельское» Гродне</w:t>
      </w:r>
      <w:r w:rsidRPr="001C576D">
        <w:rPr>
          <w:sz w:val="20"/>
          <w:szCs w:val="20"/>
        </w:rPr>
        <w:t>н</w:t>
      </w:r>
      <w:r w:rsidRPr="001C576D">
        <w:rPr>
          <w:sz w:val="20"/>
          <w:szCs w:val="20"/>
        </w:rPr>
        <w:t>ского района по схеме, приведенной в таблице 1.</w:t>
      </w:r>
    </w:p>
    <w:p w:rsidR="004B0A70" w:rsidRPr="001C576D" w:rsidRDefault="004B0A70" w:rsidP="004B0A70">
      <w:pPr>
        <w:spacing w:after="60"/>
        <w:ind w:firstLine="284"/>
        <w:jc w:val="both"/>
        <w:rPr>
          <w:sz w:val="20"/>
          <w:szCs w:val="20"/>
        </w:rPr>
      </w:pPr>
      <w:r w:rsidRPr="001C576D">
        <w:rPr>
          <w:sz w:val="20"/>
          <w:szCs w:val="20"/>
        </w:rPr>
        <w:t>Таблица 1 – Схема опыта</w:t>
      </w:r>
    </w:p>
    <w:tbl>
      <w:tblPr>
        <w:tblStyle w:val="a5"/>
        <w:tblW w:w="6237" w:type="dxa"/>
        <w:jc w:val="center"/>
        <w:tblLook w:val="01E0"/>
      </w:tblPr>
      <w:tblGrid>
        <w:gridCol w:w="2078"/>
        <w:gridCol w:w="2077"/>
        <w:gridCol w:w="2082"/>
      </w:tblGrid>
      <w:tr w:rsidR="004B0A70" w:rsidRPr="001C576D" w:rsidTr="002E185D">
        <w:trPr>
          <w:trHeight w:val="460"/>
          <w:jc w:val="center"/>
        </w:trPr>
        <w:tc>
          <w:tcPr>
            <w:tcW w:w="2091" w:type="dxa"/>
            <w:vAlign w:val="center"/>
          </w:tcPr>
          <w:p w:rsidR="004B0A70" w:rsidRPr="001C576D" w:rsidRDefault="004B0A70" w:rsidP="002E185D">
            <w:pPr>
              <w:jc w:val="center"/>
              <w:rPr>
                <w:sz w:val="20"/>
                <w:szCs w:val="20"/>
              </w:rPr>
            </w:pPr>
            <w:r w:rsidRPr="001C576D">
              <w:rPr>
                <w:sz w:val="20"/>
                <w:szCs w:val="20"/>
              </w:rPr>
              <w:t>Группы</w:t>
            </w:r>
          </w:p>
        </w:tc>
        <w:tc>
          <w:tcPr>
            <w:tcW w:w="2091" w:type="dxa"/>
            <w:vAlign w:val="center"/>
          </w:tcPr>
          <w:p w:rsidR="004B0A70" w:rsidRPr="001C576D" w:rsidRDefault="004B0A70" w:rsidP="002E185D">
            <w:pPr>
              <w:jc w:val="center"/>
              <w:rPr>
                <w:sz w:val="20"/>
                <w:szCs w:val="20"/>
              </w:rPr>
            </w:pPr>
            <w:r w:rsidRPr="001C576D">
              <w:rPr>
                <w:sz w:val="20"/>
                <w:szCs w:val="20"/>
              </w:rPr>
              <w:t>Количество</w:t>
            </w:r>
          </w:p>
          <w:p w:rsidR="004B0A70" w:rsidRPr="001C576D" w:rsidRDefault="004B0A70" w:rsidP="002E185D">
            <w:pPr>
              <w:jc w:val="center"/>
              <w:rPr>
                <w:sz w:val="20"/>
                <w:szCs w:val="20"/>
              </w:rPr>
            </w:pPr>
            <w:r w:rsidRPr="001C576D">
              <w:rPr>
                <w:sz w:val="20"/>
                <w:szCs w:val="20"/>
              </w:rPr>
              <w:t>живо</w:t>
            </w:r>
            <w:r w:rsidRPr="001C576D">
              <w:rPr>
                <w:sz w:val="20"/>
                <w:szCs w:val="20"/>
              </w:rPr>
              <w:t>т</w:t>
            </w:r>
            <w:r w:rsidRPr="001C576D">
              <w:rPr>
                <w:sz w:val="20"/>
                <w:szCs w:val="20"/>
              </w:rPr>
              <w:t>ных, голов</w:t>
            </w:r>
          </w:p>
        </w:tc>
        <w:tc>
          <w:tcPr>
            <w:tcW w:w="2092" w:type="dxa"/>
            <w:vAlign w:val="center"/>
          </w:tcPr>
          <w:p w:rsidR="004B0A70" w:rsidRPr="001C576D" w:rsidRDefault="004B0A70" w:rsidP="002E185D">
            <w:pPr>
              <w:jc w:val="center"/>
              <w:rPr>
                <w:sz w:val="20"/>
                <w:szCs w:val="20"/>
              </w:rPr>
            </w:pPr>
            <w:r w:rsidRPr="001C576D">
              <w:rPr>
                <w:sz w:val="20"/>
                <w:szCs w:val="20"/>
              </w:rPr>
              <w:t>Схема использования препарата</w:t>
            </w:r>
          </w:p>
        </w:tc>
      </w:tr>
      <w:tr w:rsidR="004B0A70" w:rsidRPr="001C576D" w:rsidTr="002E185D">
        <w:trPr>
          <w:jc w:val="center"/>
        </w:trPr>
        <w:tc>
          <w:tcPr>
            <w:tcW w:w="2091" w:type="dxa"/>
            <w:vAlign w:val="center"/>
          </w:tcPr>
          <w:p w:rsidR="004B0A70" w:rsidRPr="001C576D" w:rsidRDefault="004B0A70" w:rsidP="002E185D">
            <w:pPr>
              <w:jc w:val="center"/>
              <w:rPr>
                <w:sz w:val="20"/>
                <w:szCs w:val="20"/>
              </w:rPr>
            </w:pPr>
            <w:r w:rsidRPr="001C576D">
              <w:rPr>
                <w:sz w:val="20"/>
                <w:szCs w:val="20"/>
              </w:rPr>
              <w:t>Контрольная</w:t>
            </w:r>
          </w:p>
        </w:tc>
        <w:tc>
          <w:tcPr>
            <w:tcW w:w="2091" w:type="dxa"/>
            <w:vAlign w:val="center"/>
          </w:tcPr>
          <w:p w:rsidR="004B0A70" w:rsidRPr="001C576D" w:rsidRDefault="004B0A70" w:rsidP="002E185D">
            <w:pPr>
              <w:jc w:val="center"/>
              <w:rPr>
                <w:sz w:val="20"/>
                <w:szCs w:val="20"/>
              </w:rPr>
            </w:pPr>
            <w:r w:rsidRPr="001C576D">
              <w:rPr>
                <w:sz w:val="20"/>
                <w:szCs w:val="20"/>
              </w:rPr>
              <w:t>12</w:t>
            </w:r>
          </w:p>
        </w:tc>
        <w:tc>
          <w:tcPr>
            <w:tcW w:w="2092" w:type="dxa"/>
            <w:vAlign w:val="center"/>
          </w:tcPr>
          <w:p w:rsidR="004B0A70" w:rsidRPr="001C576D" w:rsidRDefault="004B0A70" w:rsidP="002E185D">
            <w:pPr>
              <w:jc w:val="center"/>
              <w:rPr>
                <w:sz w:val="20"/>
                <w:szCs w:val="20"/>
              </w:rPr>
            </w:pPr>
            <w:r w:rsidRPr="001C576D">
              <w:rPr>
                <w:sz w:val="20"/>
                <w:szCs w:val="20"/>
              </w:rPr>
              <w:t>-</w:t>
            </w:r>
          </w:p>
        </w:tc>
      </w:tr>
      <w:tr w:rsidR="004B0A70" w:rsidRPr="001C576D" w:rsidTr="002E185D">
        <w:trPr>
          <w:jc w:val="center"/>
        </w:trPr>
        <w:tc>
          <w:tcPr>
            <w:tcW w:w="2091" w:type="dxa"/>
            <w:vAlign w:val="center"/>
          </w:tcPr>
          <w:p w:rsidR="004B0A70" w:rsidRPr="001C576D" w:rsidRDefault="004B0A70" w:rsidP="002E185D">
            <w:pPr>
              <w:jc w:val="center"/>
              <w:rPr>
                <w:sz w:val="20"/>
                <w:szCs w:val="20"/>
              </w:rPr>
            </w:pPr>
            <w:r w:rsidRPr="001C576D">
              <w:rPr>
                <w:sz w:val="20"/>
                <w:szCs w:val="20"/>
              </w:rPr>
              <w:t>Опытная</w:t>
            </w:r>
          </w:p>
        </w:tc>
        <w:tc>
          <w:tcPr>
            <w:tcW w:w="2091" w:type="dxa"/>
            <w:vAlign w:val="center"/>
          </w:tcPr>
          <w:p w:rsidR="004B0A70" w:rsidRPr="001C576D" w:rsidRDefault="004B0A70" w:rsidP="002E185D">
            <w:pPr>
              <w:jc w:val="center"/>
              <w:rPr>
                <w:sz w:val="20"/>
                <w:szCs w:val="20"/>
              </w:rPr>
            </w:pPr>
            <w:r w:rsidRPr="001C576D">
              <w:rPr>
                <w:sz w:val="20"/>
                <w:szCs w:val="20"/>
              </w:rPr>
              <w:t>12</w:t>
            </w:r>
          </w:p>
        </w:tc>
        <w:tc>
          <w:tcPr>
            <w:tcW w:w="2092" w:type="dxa"/>
            <w:vAlign w:val="center"/>
          </w:tcPr>
          <w:p w:rsidR="004B0A70" w:rsidRPr="001C576D" w:rsidRDefault="004B0A70" w:rsidP="002E185D">
            <w:pPr>
              <w:jc w:val="center"/>
              <w:rPr>
                <w:sz w:val="20"/>
                <w:szCs w:val="20"/>
              </w:rPr>
            </w:pPr>
            <w:r w:rsidRPr="001C576D">
              <w:rPr>
                <w:sz w:val="20"/>
                <w:szCs w:val="20"/>
              </w:rPr>
              <w:t xml:space="preserve">15 мл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C576D">
                <w:rPr>
                  <w:sz w:val="20"/>
                  <w:szCs w:val="20"/>
                </w:rPr>
                <w:t>1 кг</w:t>
              </w:r>
            </w:smartTag>
          </w:p>
          <w:p w:rsidR="004B0A70" w:rsidRPr="001C576D" w:rsidRDefault="004B0A70" w:rsidP="002E185D">
            <w:pPr>
              <w:jc w:val="center"/>
              <w:rPr>
                <w:sz w:val="20"/>
                <w:szCs w:val="20"/>
              </w:rPr>
            </w:pPr>
            <w:r w:rsidRPr="001C576D">
              <w:rPr>
                <w:sz w:val="20"/>
                <w:szCs w:val="20"/>
              </w:rPr>
              <w:t>живой массы</w:t>
            </w:r>
          </w:p>
        </w:tc>
      </w:tr>
    </w:tbl>
    <w:p w:rsidR="004B0A70" w:rsidRPr="001C576D" w:rsidRDefault="004B0A70" w:rsidP="004B0A70">
      <w:pPr>
        <w:ind w:firstLine="284"/>
        <w:jc w:val="both"/>
        <w:rPr>
          <w:sz w:val="20"/>
          <w:szCs w:val="20"/>
        </w:rPr>
      </w:pPr>
      <w:r w:rsidRPr="001C576D">
        <w:rPr>
          <w:sz w:val="20"/>
          <w:szCs w:val="20"/>
        </w:rPr>
        <w:t>Для проведения эксперимента по изучению профилактической э</w:t>
      </w:r>
      <w:r w:rsidRPr="001C576D">
        <w:rPr>
          <w:sz w:val="20"/>
          <w:szCs w:val="20"/>
        </w:rPr>
        <w:t>ф</w:t>
      </w:r>
      <w:r w:rsidRPr="001C576D">
        <w:rPr>
          <w:sz w:val="20"/>
          <w:szCs w:val="20"/>
        </w:rPr>
        <w:t>фективности горца змеиного были сформированы две группы новор</w:t>
      </w:r>
      <w:r w:rsidRPr="001C576D">
        <w:rPr>
          <w:sz w:val="20"/>
          <w:szCs w:val="20"/>
        </w:rPr>
        <w:t>о</w:t>
      </w:r>
      <w:r w:rsidRPr="001C576D">
        <w:rPr>
          <w:sz w:val="20"/>
          <w:szCs w:val="20"/>
        </w:rPr>
        <w:t>жденных телят, сформированных методом пар-аналогов по 12 голов в каждой. Телятам опытной группы для профилактики диспепсии в</w:t>
      </w:r>
      <w:r w:rsidRPr="001C576D">
        <w:rPr>
          <w:sz w:val="20"/>
          <w:szCs w:val="20"/>
        </w:rPr>
        <w:t>ы</w:t>
      </w:r>
      <w:r w:rsidRPr="001C576D">
        <w:rPr>
          <w:sz w:val="20"/>
          <w:szCs w:val="20"/>
        </w:rPr>
        <w:t xml:space="preserve">паивали настой горца змеиного из расчета 15 мл на </w:t>
      </w:r>
      <w:smartTag w:uri="urn:schemas-microsoft-com:office:smarttags" w:element="metricconverter">
        <w:smartTagPr>
          <w:attr w:name="ProductID" w:val="1 кг"/>
        </w:smartTagPr>
        <w:r w:rsidRPr="001C576D">
          <w:rPr>
            <w:sz w:val="20"/>
            <w:szCs w:val="20"/>
          </w:rPr>
          <w:t>1 кг</w:t>
        </w:r>
      </w:smartTag>
      <w:r w:rsidRPr="001C576D">
        <w:rPr>
          <w:sz w:val="20"/>
          <w:szCs w:val="20"/>
        </w:rPr>
        <w:t xml:space="preserve"> живой массы тела животного сначала после первой выпойки молозива, а затем за 30-40 мин перед каждой последующей выпойкой в течение 4 дней. Для улучшения вкусовых качеств к настою добавляли поваренную соль (</w:t>
      </w:r>
      <w:smartTag w:uri="urn:schemas-microsoft-com:office:smarttags" w:element="metricconverter">
        <w:smartTagPr>
          <w:attr w:name="ProductID" w:val="1 г"/>
        </w:smartTagPr>
        <w:r w:rsidRPr="001C576D">
          <w:rPr>
            <w:sz w:val="20"/>
            <w:szCs w:val="20"/>
          </w:rPr>
          <w:t>1 г</w:t>
        </w:r>
      </w:smartTag>
      <w:r w:rsidRPr="001C576D">
        <w:rPr>
          <w:sz w:val="20"/>
          <w:szCs w:val="20"/>
        </w:rPr>
        <w:t xml:space="preserve"> на </w:t>
      </w:r>
      <w:smartTag w:uri="urn:schemas-microsoft-com:office:smarttags" w:element="metricconverter">
        <w:smartTagPr>
          <w:attr w:name="ProductID" w:val="400 г"/>
        </w:smartTagPr>
        <w:r w:rsidRPr="001C576D">
          <w:rPr>
            <w:sz w:val="20"/>
            <w:szCs w:val="20"/>
          </w:rPr>
          <w:t>400 г</w:t>
        </w:r>
      </w:smartTag>
      <w:r w:rsidRPr="001C576D">
        <w:rPr>
          <w:sz w:val="20"/>
          <w:szCs w:val="20"/>
        </w:rPr>
        <w:t xml:space="preserve"> настоя). Телята контрольной группы настой не получали. За всеми животными в период эксперимента велись клинические набл</w:t>
      </w:r>
      <w:r w:rsidRPr="001C576D">
        <w:rPr>
          <w:sz w:val="20"/>
          <w:szCs w:val="20"/>
        </w:rPr>
        <w:t>ю</w:t>
      </w:r>
      <w:r w:rsidRPr="001C576D">
        <w:rPr>
          <w:sz w:val="20"/>
          <w:szCs w:val="20"/>
        </w:rPr>
        <w:t>дения и на 1-й и 10-й дни жизни у телят проводились гематологич</w:t>
      </w:r>
      <w:r w:rsidRPr="001C576D">
        <w:rPr>
          <w:sz w:val="20"/>
          <w:szCs w:val="20"/>
        </w:rPr>
        <w:t>е</w:t>
      </w:r>
      <w:r w:rsidRPr="001C576D">
        <w:rPr>
          <w:sz w:val="20"/>
          <w:szCs w:val="20"/>
        </w:rPr>
        <w:t>ские и иммунологические исследования. Взятие проб крови осуществляли из яремной вены, утром до кормления, с соблюдением правил септики и антисептики в стерильные пробирки. Учитывались все случаи заб</w:t>
      </w:r>
      <w:r w:rsidRPr="001C576D">
        <w:rPr>
          <w:sz w:val="20"/>
          <w:szCs w:val="20"/>
        </w:rPr>
        <w:t>о</w:t>
      </w:r>
      <w:r w:rsidRPr="001C576D">
        <w:rPr>
          <w:sz w:val="20"/>
          <w:szCs w:val="20"/>
        </w:rPr>
        <w:t xml:space="preserve">леваемости и падежа животных, а также интенсивность их роста путем взвешивания в начале и конце наблюдений </w:t>
      </w:r>
    </w:p>
    <w:p w:rsidR="004B0A70" w:rsidRPr="001C576D" w:rsidRDefault="004B0A70" w:rsidP="004B0A70">
      <w:pPr>
        <w:widowControl w:val="0"/>
        <w:ind w:firstLine="284"/>
        <w:jc w:val="both"/>
        <w:rPr>
          <w:sz w:val="20"/>
          <w:szCs w:val="20"/>
        </w:rPr>
      </w:pPr>
      <w:r w:rsidRPr="001C576D">
        <w:rPr>
          <w:b/>
          <w:sz w:val="20"/>
          <w:szCs w:val="20"/>
        </w:rPr>
        <w:t>Результаты исследований и их обсуждение.</w:t>
      </w:r>
      <w:r w:rsidRPr="001C576D">
        <w:rPr>
          <w:sz w:val="20"/>
          <w:szCs w:val="20"/>
        </w:rPr>
        <w:t xml:space="preserve"> Полученные результаты свидетельствуют о полож</w:t>
      </w:r>
      <w:r w:rsidRPr="001C576D">
        <w:rPr>
          <w:sz w:val="20"/>
          <w:szCs w:val="20"/>
        </w:rPr>
        <w:t>и</w:t>
      </w:r>
      <w:r w:rsidRPr="001C576D">
        <w:rPr>
          <w:sz w:val="20"/>
          <w:szCs w:val="20"/>
        </w:rPr>
        <w:t xml:space="preserve">тельном влиянии предлагаемого для использования в молочном скотоводстве в целях </w:t>
      </w:r>
      <w:proofErr w:type="gramStart"/>
      <w:r w:rsidRPr="001C576D">
        <w:rPr>
          <w:sz w:val="20"/>
          <w:szCs w:val="20"/>
        </w:rPr>
        <w:t>профилактики ди</w:t>
      </w:r>
      <w:r w:rsidRPr="001C576D">
        <w:rPr>
          <w:sz w:val="20"/>
          <w:szCs w:val="20"/>
        </w:rPr>
        <w:t>с</w:t>
      </w:r>
      <w:r w:rsidRPr="001C576D">
        <w:rPr>
          <w:sz w:val="20"/>
          <w:szCs w:val="20"/>
        </w:rPr>
        <w:t>пепсии телят настоя горца змеиного</w:t>
      </w:r>
      <w:proofErr w:type="gramEnd"/>
      <w:r w:rsidRPr="001C576D">
        <w:rPr>
          <w:sz w:val="20"/>
          <w:szCs w:val="20"/>
        </w:rPr>
        <w:t>. Об этом свидетельствуют резул</w:t>
      </w:r>
      <w:r w:rsidRPr="001C576D">
        <w:rPr>
          <w:sz w:val="20"/>
          <w:szCs w:val="20"/>
        </w:rPr>
        <w:t>ь</w:t>
      </w:r>
      <w:r w:rsidRPr="001C576D">
        <w:rPr>
          <w:sz w:val="20"/>
          <w:szCs w:val="20"/>
        </w:rPr>
        <w:t>таты гематологических исследований, при проведении которых прослеживается четко выраженная тенденция о более высокой степени резистен</w:t>
      </w:r>
      <w:r w:rsidRPr="001C576D">
        <w:rPr>
          <w:sz w:val="20"/>
          <w:szCs w:val="20"/>
        </w:rPr>
        <w:t>т</w:t>
      </w:r>
      <w:r w:rsidRPr="001C576D">
        <w:rPr>
          <w:sz w:val="20"/>
          <w:szCs w:val="20"/>
        </w:rPr>
        <w:t>ности телят опытной группы (табл</w:t>
      </w:r>
      <w:r>
        <w:rPr>
          <w:sz w:val="20"/>
          <w:szCs w:val="20"/>
        </w:rPr>
        <w:t>ицы</w:t>
      </w:r>
      <w:r w:rsidRPr="001C576D">
        <w:rPr>
          <w:sz w:val="20"/>
          <w:szCs w:val="20"/>
        </w:rPr>
        <w:t xml:space="preserve"> 2,</w:t>
      </w:r>
      <w:r>
        <w:rPr>
          <w:sz w:val="20"/>
          <w:szCs w:val="20"/>
        </w:rPr>
        <w:t xml:space="preserve"> </w:t>
      </w:r>
      <w:r w:rsidRPr="001C576D">
        <w:rPr>
          <w:sz w:val="20"/>
          <w:szCs w:val="20"/>
        </w:rPr>
        <w:t>3).</w:t>
      </w:r>
    </w:p>
    <w:p w:rsidR="004B0A70" w:rsidRPr="001C576D" w:rsidRDefault="004B0A70" w:rsidP="004B0A70">
      <w:pPr>
        <w:pStyle w:val="21"/>
        <w:spacing w:after="0" w:line="240" w:lineRule="auto"/>
        <w:ind w:left="0" w:firstLine="284"/>
        <w:jc w:val="both"/>
        <w:rPr>
          <w:sz w:val="20"/>
          <w:szCs w:val="20"/>
        </w:rPr>
      </w:pPr>
      <w:r w:rsidRPr="001C576D">
        <w:rPr>
          <w:sz w:val="20"/>
          <w:szCs w:val="20"/>
        </w:rPr>
        <w:t>Так, если в начале опыта концентрация эритроцитов у животных контрольной группы была на уровне 9,73х10</w:t>
      </w:r>
      <w:r w:rsidRPr="001C576D">
        <w:rPr>
          <w:sz w:val="20"/>
          <w:szCs w:val="20"/>
          <w:vertAlign w:val="superscript"/>
        </w:rPr>
        <w:t>12</w:t>
      </w:r>
      <w:r w:rsidRPr="001C576D">
        <w:rPr>
          <w:sz w:val="20"/>
          <w:szCs w:val="20"/>
        </w:rPr>
        <w:t>/л, в опытной группе – 8,92х10</w:t>
      </w:r>
      <w:r w:rsidRPr="001C576D">
        <w:rPr>
          <w:sz w:val="20"/>
          <w:szCs w:val="20"/>
          <w:vertAlign w:val="superscript"/>
        </w:rPr>
        <w:t>12</w:t>
      </w:r>
      <w:r>
        <w:rPr>
          <w:sz w:val="20"/>
          <w:szCs w:val="20"/>
        </w:rPr>
        <w:t xml:space="preserve">/л, лейкоцитов – </w:t>
      </w:r>
      <w:r w:rsidRPr="001C576D">
        <w:rPr>
          <w:sz w:val="20"/>
          <w:szCs w:val="20"/>
        </w:rPr>
        <w:t>10,48х10</w:t>
      </w:r>
      <w:r w:rsidRPr="001C576D">
        <w:rPr>
          <w:sz w:val="20"/>
          <w:szCs w:val="20"/>
          <w:vertAlign w:val="superscript"/>
        </w:rPr>
        <w:t>9</w:t>
      </w:r>
      <w:r w:rsidRPr="001C576D">
        <w:rPr>
          <w:sz w:val="20"/>
          <w:szCs w:val="20"/>
        </w:rPr>
        <w:t>/л и 10,02 х10</w:t>
      </w:r>
      <w:r w:rsidRPr="001C576D">
        <w:rPr>
          <w:sz w:val="20"/>
          <w:szCs w:val="20"/>
          <w:vertAlign w:val="superscript"/>
        </w:rPr>
        <w:t>9</w:t>
      </w:r>
      <w:r w:rsidRPr="001C576D">
        <w:rPr>
          <w:sz w:val="20"/>
          <w:szCs w:val="20"/>
        </w:rPr>
        <w:t>/л соответстве</w:t>
      </w:r>
      <w:r w:rsidRPr="001C576D">
        <w:rPr>
          <w:sz w:val="20"/>
          <w:szCs w:val="20"/>
        </w:rPr>
        <w:t>н</w:t>
      </w:r>
      <w:r w:rsidRPr="001C576D">
        <w:rPr>
          <w:sz w:val="20"/>
          <w:szCs w:val="20"/>
        </w:rPr>
        <w:t>но. Содержание тромбоцитов у ж</w:t>
      </w:r>
      <w:r w:rsidRPr="001C576D">
        <w:rPr>
          <w:sz w:val="20"/>
          <w:szCs w:val="20"/>
        </w:rPr>
        <w:t>и</w:t>
      </w:r>
      <w:r w:rsidRPr="001C576D">
        <w:rPr>
          <w:sz w:val="20"/>
          <w:szCs w:val="20"/>
        </w:rPr>
        <w:t>вотных обеих групп было примерно на одном уровне и составляло 500,00х10</w:t>
      </w:r>
      <w:r w:rsidRPr="001C576D">
        <w:rPr>
          <w:sz w:val="20"/>
          <w:szCs w:val="20"/>
          <w:vertAlign w:val="superscript"/>
        </w:rPr>
        <w:t>9</w:t>
      </w:r>
      <w:r w:rsidRPr="001C576D">
        <w:rPr>
          <w:sz w:val="20"/>
          <w:szCs w:val="20"/>
        </w:rPr>
        <w:t xml:space="preserve">/л в </w:t>
      </w:r>
      <w:r w:rsidRPr="001C576D">
        <w:rPr>
          <w:sz w:val="20"/>
          <w:szCs w:val="20"/>
        </w:rPr>
        <w:lastRenderedPageBreak/>
        <w:t>контроле и 507,25х10</w:t>
      </w:r>
      <w:r w:rsidRPr="001C576D">
        <w:rPr>
          <w:sz w:val="20"/>
          <w:szCs w:val="20"/>
          <w:vertAlign w:val="superscript"/>
        </w:rPr>
        <w:t>9</w:t>
      </w:r>
      <w:r w:rsidRPr="001C576D">
        <w:rPr>
          <w:sz w:val="20"/>
          <w:szCs w:val="20"/>
        </w:rPr>
        <w:t>/л, что незначительно превышает физиологическую норму животных и может свидетельствовать о некотором напряжении иммунитета на фоне заб</w:t>
      </w:r>
      <w:r w:rsidRPr="001C576D">
        <w:rPr>
          <w:sz w:val="20"/>
          <w:szCs w:val="20"/>
        </w:rPr>
        <w:t>о</w:t>
      </w:r>
      <w:r w:rsidRPr="001C576D">
        <w:rPr>
          <w:sz w:val="20"/>
          <w:szCs w:val="20"/>
        </w:rPr>
        <w:t xml:space="preserve">леваемости дисбактериозом. </w:t>
      </w:r>
    </w:p>
    <w:p w:rsidR="004B0A70" w:rsidRPr="001C576D" w:rsidRDefault="004B0A70" w:rsidP="004B0A70">
      <w:pPr>
        <w:pStyle w:val="21"/>
        <w:spacing w:after="60" w:line="240" w:lineRule="auto"/>
        <w:ind w:left="0" w:firstLine="284"/>
        <w:rPr>
          <w:sz w:val="20"/>
          <w:szCs w:val="20"/>
        </w:rPr>
      </w:pPr>
      <w:r>
        <w:rPr>
          <w:sz w:val="20"/>
          <w:szCs w:val="20"/>
        </w:rPr>
        <w:t xml:space="preserve">Таблица 2 – </w:t>
      </w:r>
      <w:r w:rsidRPr="001C576D">
        <w:rPr>
          <w:sz w:val="20"/>
          <w:szCs w:val="20"/>
        </w:rPr>
        <w:t>Гематологические показатели телят в начале опыта</w:t>
      </w:r>
    </w:p>
    <w:tbl>
      <w:tblPr>
        <w:tblW w:w="6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7"/>
        <w:gridCol w:w="1723"/>
        <w:gridCol w:w="1408"/>
        <w:gridCol w:w="1069"/>
      </w:tblGrid>
      <w:tr w:rsidR="004B0A70" w:rsidRPr="001C576D" w:rsidTr="002E185D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2037" w:type="dxa"/>
            <w:vMerge w:val="restart"/>
            <w:vAlign w:val="center"/>
          </w:tcPr>
          <w:p w:rsidR="004B0A70" w:rsidRPr="001C576D" w:rsidRDefault="004B0A70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C576D">
              <w:rPr>
                <w:sz w:val="20"/>
              </w:rPr>
              <w:t>Показатели</w:t>
            </w:r>
          </w:p>
        </w:tc>
        <w:tc>
          <w:tcPr>
            <w:tcW w:w="3131" w:type="dxa"/>
            <w:gridSpan w:val="2"/>
            <w:vAlign w:val="center"/>
          </w:tcPr>
          <w:p w:rsidR="004B0A70" w:rsidRPr="001C576D" w:rsidRDefault="004B0A70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C576D">
              <w:rPr>
                <w:sz w:val="20"/>
              </w:rPr>
              <w:t>Группа</w:t>
            </w:r>
          </w:p>
        </w:tc>
        <w:tc>
          <w:tcPr>
            <w:tcW w:w="1069" w:type="dxa"/>
            <w:vMerge w:val="restart"/>
            <w:vAlign w:val="center"/>
          </w:tcPr>
          <w:p w:rsidR="004B0A70" w:rsidRPr="001C576D" w:rsidRDefault="004B0A70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C576D">
              <w:rPr>
                <w:sz w:val="20"/>
              </w:rPr>
              <w:t>Норма</w:t>
            </w:r>
          </w:p>
        </w:tc>
      </w:tr>
      <w:tr w:rsidR="004B0A70" w:rsidRPr="001C576D" w:rsidTr="002E185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37" w:type="dxa"/>
            <w:vMerge/>
            <w:vAlign w:val="center"/>
          </w:tcPr>
          <w:p w:rsidR="004B0A70" w:rsidRPr="001C576D" w:rsidRDefault="004B0A70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:rsidR="004B0A70" w:rsidRPr="001C576D" w:rsidRDefault="004B0A70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C576D">
              <w:rPr>
                <w:sz w:val="20"/>
              </w:rPr>
              <w:t>Ко</w:t>
            </w:r>
            <w:r w:rsidRPr="001C576D">
              <w:rPr>
                <w:sz w:val="20"/>
              </w:rPr>
              <w:t>н</w:t>
            </w:r>
            <w:r w:rsidRPr="001C576D">
              <w:rPr>
                <w:sz w:val="20"/>
              </w:rPr>
              <w:t>трольная</w:t>
            </w:r>
          </w:p>
        </w:tc>
        <w:tc>
          <w:tcPr>
            <w:tcW w:w="1408" w:type="dxa"/>
            <w:vAlign w:val="center"/>
          </w:tcPr>
          <w:p w:rsidR="004B0A70" w:rsidRPr="001C576D" w:rsidRDefault="004B0A70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C576D">
              <w:rPr>
                <w:sz w:val="20"/>
              </w:rPr>
              <w:t>Опытная</w:t>
            </w:r>
          </w:p>
        </w:tc>
        <w:tc>
          <w:tcPr>
            <w:tcW w:w="1069" w:type="dxa"/>
            <w:vMerge/>
            <w:vAlign w:val="center"/>
          </w:tcPr>
          <w:p w:rsidR="004B0A70" w:rsidRPr="001C576D" w:rsidRDefault="004B0A70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</w:p>
        </w:tc>
      </w:tr>
      <w:tr w:rsidR="004B0A70" w:rsidRPr="001C576D" w:rsidTr="002E185D">
        <w:tblPrEx>
          <w:tblCellMar>
            <w:top w:w="0" w:type="dxa"/>
            <w:bottom w:w="0" w:type="dxa"/>
          </w:tblCellMar>
        </w:tblPrEx>
        <w:tc>
          <w:tcPr>
            <w:tcW w:w="2037" w:type="dxa"/>
            <w:vAlign w:val="center"/>
          </w:tcPr>
          <w:p w:rsidR="004B0A70" w:rsidRPr="001C576D" w:rsidRDefault="004B0A70" w:rsidP="002E185D">
            <w:pPr>
              <w:pStyle w:val="a6"/>
              <w:spacing w:after="0"/>
              <w:ind w:left="0" w:firstLine="0"/>
              <w:rPr>
                <w:sz w:val="20"/>
              </w:rPr>
            </w:pPr>
            <w:r w:rsidRPr="001C576D">
              <w:rPr>
                <w:sz w:val="20"/>
              </w:rPr>
              <w:t>Эритроц</w:t>
            </w:r>
            <w:r w:rsidRPr="001C576D">
              <w:rPr>
                <w:sz w:val="20"/>
              </w:rPr>
              <w:t>и</w:t>
            </w:r>
            <w:r w:rsidRPr="001C576D">
              <w:rPr>
                <w:sz w:val="20"/>
              </w:rPr>
              <w:t>ты, 10</w:t>
            </w:r>
            <w:r w:rsidRPr="001C576D">
              <w:rPr>
                <w:sz w:val="20"/>
                <w:vertAlign w:val="superscript"/>
              </w:rPr>
              <w:t>12</w:t>
            </w:r>
            <w:r w:rsidRPr="001C576D">
              <w:rPr>
                <w:sz w:val="20"/>
              </w:rPr>
              <w:t>/л</w:t>
            </w:r>
          </w:p>
        </w:tc>
        <w:tc>
          <w:tcPr>
            <w:tcW w:w="1723" w:type="dxa"/>
            <w:vAlign w:val="center"/>
          </w:tcPr>
          <w:p w:rsidR="004B0A70" w:rsidRPr="001C576D" w:rsidRDefault="004B0A70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C576D">
              <w:rPr>
                <w:sz w:val="20"/>
              </w:rPr>
              <w:t>9,73±0,33</w:t>
            </w:r>
          </w:p>
        </w:tc>
        <w:tc>
          <w:tcPr>
            <w:tcW w:w="1408" w:type="dxa"/>
            <w:vAlign w:val="center"/>
          </w:tcPr>
          <w:p w:rsidR="004B0A70" w:rsidRPr="001C576D" w:rsidRDefault="004B0A70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C576D">
              <w:rPr>
                <w:sz w:val="20"/>
              </w:rPr>
              <w:t>8,92±0,37</w:t>
            </w:r>
          </w:p>
        </w:tc>
        <w:tc>
          <w:tcPr>
            <w:tcW w:w="1069" w:type="dxa"/>
            <w:vAlign w:val="center"/>
          </w:tcPr>
          <w:p w:rsidR="004B0A70" w:rsidRPr="001C576D" w:rsidRDefault="004B0A70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C576D">
              <w:rPr>
                <w:sz w:val="20"/>
              </w:rPr>
              <w:t>5,4-8,8</w:t>
            </w:r>
          </w:p>
        </w:tc>
      </w:tr>
      <w:tr w:rsidR="004B0A70" w:rsidRPr="001C576D" w:rsidTr="002E185D">
        <w:tblPrEx>
          <w:tblCellMar>
            <w:top w:w="0" w:type="dxa"/>
            <w:bottom w:w="0" w:type="dxa"/>
          </w:tblCellMar>
        </w:tblPrEx>
        <w:tc>
          <w:tcPr>
            <w:tcW w:w="2037" w:type="dxa"/>
            <w:vAlign w:val="center"/>
          </w:tcPr>
          <w:p w:rsidR="004B0A70" w:rsidRPr="001C576D" w:rsidRDefault="004B0A70" w:rsidP="002E185D">
            <w:pPr>
              <w:pStyle w:val="a6"/>
              <w:spacing w:after="0"/>
              <w:ind w:left="0" w:firstLine="0"/>
              <w:rPr>
                <w:sz w:val="20"/>
              </w:rPr>
            </w:pPr>
            <w:r w:rsidRPr="001C576D">
              <w:rPr>
                <w:sz w:val="20"/>
              </w:rPr>
              <w:t>Лейкоциты, 10</w:t>
            </w:r>
            <w:r w:rsidRPr="001C576D">
              <w:rPr>
                <w:sz w:val="20"/>
                <w:vertAlign w:val="superscript"/>
              </w:rPr>
              <w:t>9</w:t>
            </w:r>
            <w:r w:rsidRPr="001C576D">
              <w:rPr>
                <w:sz w:val="20"/>
              </w:rPr>
              <w:t>/л</w:t>
            </w:r>
          </w:p>
        </w:tc>
        <w:tc>
          <w:tcPr>
            <w:tcW w:w="1723" w:type="dxa"/>
            <w:vAlign w:val="center"/>
          </w:tcPr>
          <w:p w:rsidR="004B0A70" w:rsidRPr="001C576D" w:rsidRDefault="004B0A70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C576D">
              <w:rPr>
                <w:sz w:val="20"/>
              </w:rPr>
              <w:t>10,48±1,39</w:t>
            </w:r>
          </w:p>
        </w:tc>
        <w:tc>
          <w:tcPr>
            <w:tcW w:w="1408" w:type="dxa"/>
            <w:vAlign w:val="center"/>
          </w:tcPr>
          <w:p w:rsidR="004B0A70" w:rsidRPr="001C576D" w:rsidRDefault="004B0A70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C576D">
              <w:rPr>
                <w:sz w:val="20"/>
              </w:rPr>
              <w:t>10,02±1,46</w:t>
            </w:r>
          </w:p>
        </w:tc>
        <w:tc>
          <w:tcPr>
            <w:tcW w:w="1069" w:type="dxa"/>
            <w:vAlign w:val="center"/>
          </w:tcPr>
          <w:p w:rsidR="004B0A70" w:rsidRPr="001C576D" w:rsidRDefault="004B0A70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C576D">
              <w:rPr>
                <w:sz w:val="20"/>
              </w:rPr>
              <w:t>6,5-10,4</w:t>
            </w:r>
          </w:p>
        </w:tc>
      </w:tr>
      <w:tr w:rsidR="004B0A70" w:rsidRPr="001C576D" w:rsidTr="002E185D">
        <w:tblPrEx>
          <w:tblCellMar>
            <w:top w:w="0" w:type="dxa"/>
            <w:bottom w:w="0" w:type="dxa"/>
          </w:tblCellMar>
        </w:tblPrEx>
        <w:tc>
          <w:tcPr>
            <w:tcW w:w="2037" w:type="dxa"/>
            <w:vAlign w:val="center"/>
          </w:tcPr>
          <w:p w:rsidR="004B0A70" w:rsidRPr="001C576D" w:rsidRDefault="004B0A70" w:rsidP="002E185D">
            <w:pPr>
              <w:pStyle w:val="a6"/>
              <w:spacing w:after="0"/>
              <w:ind w:left="0" w:firstLine="0"/>
              <w:rPr>
                <w:sz w:val="20"/>
              </w:rPr>
            </w:pPr>
            <w:r w:rsidRPr="001C576D">
              <w:rPr>
                <w:sz w:val="20"/>
              </w:rPr>
              <w:t>Тромбоц</w:t>
            </w:r>
            <w:r w:rsidRPr="001C576D">
              <w:rPr>
                <w:sz w:val="20"/>
              </w:rPr>
              <w:t>и</w:t>
            </w:r>
            <w:r w:rsidRPr="001C576D">
              <w:rPr>
                <w:sz w:val="20"/>
              </w:rPr>
              <w:t>ты, 10</w:t>
            </w:r>
            <w:r w:rsidRPr="001C576D">
              <w:rPr>
                <w:sz w:val="20"/>
                <w:vertAlign w:val="superscript"/>
              </w:rPr>
              <w:t>9</w:t>
            </w:r>
            <w:r w:rsidRPr="001C576D">
              <w:rPr>
                <w:sz w:val="20"/>
              </w:rPr>
              <w:t>/л</w:t>
            </w:r>
          </w:p>
        </w:tc>
        <w:tc>
          <w:tcPr>
            <w:tcW w:w="1723" w:type="dxa"/>
            <w:vAlign w:val="center"/>
          </w:tcPr>
          <w:p w:rsidR="004B0A70" w:rsidRPr="001C576D" w:rsidRDefault="004B0A70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C576D">
              <w:rPr>
                <w:sz w:val="20"/>
              </w:rPr>
              <w:t>500,00±52,63</w:t>
            </w:r>
          </w:p>
        </w:tc>
        <w:tc>
          <w:tcPr>
            <w:tcW w:w="1408" w:type="dxa"/>
            <w:vAlign w:val="center"/>
          </w:tcPr>
          <w:p w:rsidR="004B0A70" w:rsidRPr="001C576D" w:rsidRDefault="004B0A70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C576D">
              <w:rPr>
                <w:sz w:val="20"/>
              </w:rPr>
              <w:t>507,25±46,51</w:t>
            </w:r>
          </w:p>
        </w:tc>
        <w:tc>
          <w:tcPr>
            <w:tcW w:w="1069" w:type="dxa"/>
            <w:vAlign w:val="center"/>
          </w:tcPr>
          <w:p w:rsidR="004B0A70" w:rsidRPr="001C576D" w:rsidRDefault="004B0A70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C576D">
              <w:rPr>
                <w:sz w:val="20"/>
              </w:rPr>
              <w:t>250-450</w:t>
            </w:r>
          </w:p>
        </w:tc>
      </w:tr>
      <w:tr w:rsidR="004B0A70" w:rsidRPr="001C576D" w:rsidTr="002E185D">
        <w:tblPrEx>
          <w:tblCellMar>
            <w:top w:w="0" w:type="dxa"/>
            <w:bottom w:w="0" w:type="dxa"/>
          </w:tblCellMar>
        </w:tblPrEx>
        <w:tc>
          <w:tcPr>
            <w:tcW w:w="2037" w:type="dxa"/>
            <w:vAlign w:val="center"/>
          </w:tcPr>
          <w:p w:rsidR="004B0A70" w:rsidRPr="001C576D" w:rsidRDefault="004B0A70" w:rsidP="002E185D">
            <w:pPr>
              <w:pStyle w:val="a6"/>
              <w:spacing w:after="0"/>
              <w:ind w:left="0" w:firstLine="0"/>
              <w:rPr>
                <w:sz w:val="20"/>
              </w:rPr>
            </w:pPr>
            <w:r w:rsidRPr="001C576D">
              <w:rPr>
                <w:sz w:val="20"/>
              </w:rPr>
              <w:t xml:space="preserve">Гемоглобин, </w:t>
            </w:r>
            <w:proofErr w:type="gramStart"/>
            <w:r w:rsidRPr="001C576D">
              <w:rPr>
                <w:sz w:val="20"/>
              </w:rPr>
              <w:t>г</w:t>
            </w:r>
            <w:proofErr w:type="gramEnd"/>
            <w:r w:rsidRPr="001C576D">
              <w:rPr>
                <w:sz w:val="20"/>
              </w:rPr>
              <w:t>/л</w:t>
            </w:r>
          </w:p>
        </w:tc>
        <w:tc>
          <w:tcPr>
            <w:tcW w:w="1723" w:type="dxa"/>
            <w:vAlign w:val="center"/>
          </w:tcPr>
          <w:p w:rsidR="004B0A70" w:rsidRPr="001C576D" w:rsidRDefault="004B0A70" w:rsidP="002E185D">
            <w:pPr>
              <w:pStyle w:val="ac"/>
              <w:spacing w:after="0"/>
              <w:jc w:val="center"/>
              <w:rPr>
                <w:bCs/>
                <w:sz w:val="20"/>
                <w:szCs w:val="20"/>
              </w:rPr>
            </w:pPr>
            <w:r w:rsidRPr="001C576D">
              <w:rPr>
                <w:bCs/>
                <w:sz w:val="20"/>
                <w:szCs w:val="20"/>
              </w:rPr>
              <w:t>113,95±6,31</w:t>
            </w:r>
          </w:p>
        </w:tc>
        <w:tc>
          <w:tcPr>
            <w:tcW w:w="1408" w:type="dxa"/>
            <w:vAlign w:val="center"/>
          </w:tcPr>
          <w:p w:rsidR="004B0A70" w:rsidRPr="001C576D" w:rsidRDefault="004B0A70" w:rsidP="002E185D">
            <w:pPr>
              <w:pStyle w:val="ac"/>
              <w:spacing w:after="0"/>
              <w:jc w:val="center"/>
              <w:rPr>
                <w:bCs/>
                <w:sz w:val="20"/>
                <w:szCs w:val="20"/>
              </w:rPr>
            </w:pPr>
            <w:r w:rsidRPr="001C576D">
              <w:rPr>
                <w:bCs/>
                <w:sz w:val="20"/>
                <w:szCs w:val="20"/>
              </w:rPr>
              <w:t>108,42±5,97</w:t>
            </w:r>
          </w:p>
        </w:tc>
        <w:tc>
          <w:tcPr>
            <w:tcW w:w="1069" w:type="dxa"/>
            <w:vAlign w:val="center"/>
          </w:tcPr>
          <w:p w:rsidR="004B0A70" w:rsidRPr="001C576D" w:rsidRDefault="004B0A70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C576D">
              <w:rPr>
                <w:sz w:val="20"/>
              </w:rPr>
              <w:t>90-120</w:t>
            </w:r>
          </w:p>
        </w:tc>
      </w:tr>
      <w:tr w:rsidR="004B0A70" w:rsidRPr="001C576D" w:rsidTr="002E185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37" w:type="dxa"/>
            <w:vAlign w:val="center"/>
          </w:tcPr>
          <w:p w:rsidR="004B0A70" w:rsidRPr="001C576D" w:rsidRDefault="004B0A70" w:rsidP="002E185D">
            <w:pPr>
              <w:pStyle w:val="a6"/>
              <w:spacing w:after="0"/>
              <w:ind w:left="0" w:firstLine="0"/>
              <w:rPr>
                <w:sz w:val="20"/>
              </w:rPr>
            </w:pPr>
            <w:r w:rsidRPr="001C576D">
              <w:rPr>
                <w:sz w:val="20"/>
              </w:rPr>
              <w:t>Гемато</w:t>
            </w:r>
            <w:r w:rsidRPr="001C576D">
              <w:rPr>
                <w:sz w:val="20"/>
              </w:rPr>
              <w:t>к</w:t>
            </w:r>
            <w:r w:rsidRPr="001C576D">
              <w:rPr>
                <w:sz w:val="20"/>
              </w:rPr>
              <w:t>рит,</w:t>
            </w:r>
            <w:r>
              <w:rPr>
                <w:sz w:val="20"/>
              </w:rPr>
              <w:t>%</w:t>
            </w:r>
          </w:p>
        </w:tc>
        <w:tc>
          <w:tcPr>
            <w:tcW w:w="1723" w:type="dxa"/>
            <w:vAlign w:val="center"/>
          </w:tcPr>
          <w:p w:rsidR="004B0A70" w:rsidRPr="001C576D" w:rsidRDefault="004B0A70" w:rsidP="002E185D">
            <w:pPr>
              <w:pStyle w:val="ac"/>
              <w:spacing w:after="0"/>
              <w:jc w:val="center"/>
              <w:rPr>
                <w:bCs/>
                <w:sz w:val="20"/>
                <w:szCs w:val="20"/>
              </w:rPr>
            </w:pPr>
            <w:r w:rsidRPr="001C576D">
              <w:rPr>
                <w:bCs/>
                <w:sz w:val="20"/>
                <w:szCs w:val="20"/>
              </w:rPr>
              <w:t>35,40±2,09</w:t>
            </w:r>
          </w:p>
        </w:tc>
        <w:tc>
          <w:tcPr>
            <w:tcW w:w="1408" w:type="dxa"/>
            <w:vAlign w:val="center"/>
          </w:tcPr>
          <w:p w:rsidR="004B0A70" w:rsidRPr="001C576D" w:rsidRDefault="004B0A70" w:rsidP="002E185D">
            <w:pPr>
              <w:pStyle w:val="ac"/>
              <w:spacing w:after="0"/>
              <w:jc w:val="center"/>
              <w:rPr>
                <w:bCs/>
                <w:sz w:val="20"/>
                <w:szCs w:val="20"/>
              </w:rPr>
            </w:pPr>
            <w:r w:rsidRPr="001C576D">
              <w:rPr>
                <w:bCs/>
                <w:sz w:val="20"/>
                <w:szCs w:val="20"/>
              </w:rPr>
              <w:t>32,44±2,53</w:t>
            </w:r>
          </w:p>
        </w:tc>
        <w:tc>
          <w:tcPr>
            <w:tcW w:w="1069" w:type="dxa"/>
            <w:vAlign w:val="center"/>
          </w:tcPr>
          <w:p w:rsidR="004B0A70" w:rsidRPr="001C576D" w:rsidRDefault="004B0A70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C576D">
              <w:rPr>
                <w:sz w:val="20"/>
              </w:rPr>
              <w:t>35-46</w:t>
            </w:r>
          </w:p>
        </w:tc>
      </w:tr>
    </w:tbl>
    <w:p w:rsidR="004B0A70" w:rsidRPr="001C576D" w:rsidRDefault="004B0A70" w:rsidP="004B0A70">
      <w:pPr>
        <w:pStyle w:val="21"/>
        <w:spacing w:after="0" w:line="240" w:lineRule="auto"/>
        <w:ind w:left="0" w:firstLine="284"/>
        <w:jc w:val="both"/>
        <w:rPr>
          <w:sz w:val="20"/>
          <w:szCs w:val="20"/>
        </w:rPr>
      </w:pPr>
      <w:r w:rsidRPr="001C576D">
        <w:rPr>
          <w:sz w:val="20"/>
          <w:szCs w:val="20"/>
        </w:rPr>
        <w:t>Концентрация гемоглобина у животных как контрольной, так и опытной групп была в пределах физиологической нормы и составляла 113,95 г/л и 108,42 г/л соответственно, а гематокритное число у животных опытной группы было несколько ниже физиологической но</w:t>
      </w:r>
      <w:r w:rsidRPr="001C576D">
        <w:rPr>
          <w:sz w:val="20"/>
          <w:szCs w:val="20"/>
        </w:rPr>
        <w:t>р</w:t>
      </w:r>
      <w:r w:rsidRPr="001C576D">
        <w:rPr>
          <w:sz w:val="20"/>
          <w:szCs w:val="20"/>
        </w:rPr>
        <w:t>мы и равнялось 32,44%.</w:t>
      </w:r>
    </w:p>
    <w:p w:rsidR="004B0A70" w:rsidRPr="001C576D" w:rsidRDefault="004B0A70" w:rsidP="004B0A70">
      <w:pPr>
        <w:pStyle w:val="21"/>
        <w:spacing w:after="0" w:line="228" w:lineRule="auto"/>
        <w:ind w:left="0" w:firstLine="284"/>
        <w:jc w:val="both"/>
        <w:rPr>
          <w:sz w:val="20"/>
          <w:szCs w:val="20"/>
        </w:rPr>
      </w:pPr>
      <w:r w:rsidRPr="001C576D">
        <w:rPr>
          <w:sz w:val="20"/>
          <w:szCs w:val="20"/>
        </w:rPr>
        <w:t>К концу исследований (табл</w:t>
      </w:r>
      <w:r>
        <w:rPr>
          <w:sz w:val="20"/>
          <w:szCs w:val="20"/>
        </w:rPr>
        <w:t>ица</w:t>
      </w:r>
      <w:r w:rsidRPr="001C576D">
        <w:rPr>
          <w:sz w:val="20"/>
          <w:szCs w:val="20"/>
        </w:rPr>
        <w:t xml:space="preserve"> 3) у животных опытной группы, получавших отвар горца змеиного, произошло увеличение (в пределах физиол</w:t>
      </w:r>
      <w:r w:rsidRPr="001C576D">
        <w:rPr>
          <w:sz w:val="20"/>
          <w:szCs w:val="20"/>
        </w:rPr>
        <w:t>о</w:t>
      </w:r>
      <w:r w:rsidRPr="001C576D">
        <w:rPr>
          <w:sz w:val="20"/>
          <w:szCs w:val="20"/>
        </w:rPr>
        <w:t>гической нормы) основных гематологических показателей. Так, отмечена тенденция к увеличению концентрации эритроцитов на 10,5</w:t>
      </w:r>
      <w:r>
        <w:rPr>
          <w:sz w:val="20"/>
          <w:szCs w:val="20"/>
        </w:rPr>
        <w:t>%</w:t>
      </w:r>
      <w:r w:rsidRPr="001C576D">
        <w:rPr>
          <w:sz w:val="20"/>
          <w:szCs w:val="20"/>
        </w:rPr>
        <w:t xml:space="preserve"> и тромбоцитов на 10,3</w:t>
      </w:r>
      <w:r>
        <w:rPr>
          <w:sz w:val="20"/>
          <w:szCs w:val="20"/>
        </w:rPr>
        <w:t>%</w:t>
      </w:r>
      <w:r w:rsidRPr="001C576D">
        <w:rPr>
          <w:sz w:val="20"/>
          <w:szCs w:val="20"/>
        </w:rPr>
        <w:t xml:space="preserve"> в сравн</w:t>
      </w:r>
      <w:r w:rsidRPr="001C576D">
        <w:rPr>
          <w:sz w:val="20"/>
          <w:szCs w:val="20"/>
        </w:rPr>
        <w:t>е</w:t>
      </w:r>
      <w:r w:rsidRPr="001C576D">
        <w:rPr>
          <w:sz w:val="20"/>
          <w:szCs w:val="20"/>
        </w:rPr>
        <w:t xml:space="preserve">нии животными контрольной группы. </w:t>
      </w:r>
    </w:p>
    <w:p w:rsidR="004B0A70" w:rsidRPr="001C576D" w:rsidRDefault="004B0A70" w:rsidP="004B0A70">
      <w:pPr>
        <w:pStyle w:val="21"/>
        <w:widowControl w:val="0"/>
        <w:spacing w:after="0" w:line="228" w:lineRule="auto"/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Таблица 3 – </w:t>
      </w:r>
      <w:r w:rsidRPr="001C576D">
        <w:rPr>
          <w:sz w:val="20"/>
          <w:szCs w:val="20"/>
        </w:rPr>
        <w:t>Гематологические показатели телят в конце опыта</w:t>
      </w:r>
    </w:p>
    <w:tbl>
      <w:tblPr>
        <w:tblW w:w="623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2"/>
        <w:gridCol w:w="1389"/>
        <w:gridCol w:w="1276"/>
        <w:gridCol w:w="1220"/>
      </w:tblGrid>
      <w:tr w:rsidR="004B0A70" w:rsidRPr="001C576D" w:rsidTr="002E185D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352" w:type="dxa"/>
            <w:vMerge w:val="restart"/>
            <w:vAlign w:val="center"/>
          </w:tcPr>
          <w:p w:rsidR="004B0A70" w:rsidRPr="001C576D" w:rsidRDefault="004B0A70" w:rsidP="002E185D">
            <w:pPr>
              <w:pStyle w:val="a6"/>
              <w:widowControl w:val="0"/>
              <w:spacing w:after="0" w:line="228" w:lineRule="auto"/>
              <w:ind w:left="0" w:firstLine="0"/>
              <w:jc w:val="center"/>
              <w:rPr>
                <w:sz w:val="20"/>
              </w:rPr>
            </w:pPr>
            <w:r w:rsidRPr="001C576D">
              <w:rPr>
                <w:sz w:val="20"/>
              </w:rPr>
              <w:t>Показатели</w:t>
            </w:r>
          </w:p>
        </w:tc>
        <w:tc>
          <w:tcPr>
            <w:tcW w:w="2665" w:type="dxa"/>
            <w:gridSpan w:val="2"/>
            <w:vAlign w:val="center"/>
          </w:tcPr>
          <w:p w:rsidR="004B0A70" w:rsidRPr="001C576D" w:rsidRDefault="004B0A70" w:rsidP="002E185D">
            <w:pPr>
              <w:pStyle w:val="a6"/>
              <w:widowControl w:val="0"/>
              <w:spacing w:after="0" w:line="228" w:lineRule="auto"/>
              <w:ind w:left="0" w:firstLine="0"/>
              <w:jc w:val="center"/>
              <w:rPr>
                <w:sz w:val="20"/>
              </w:rPr>
            </w:pPr>
            <w:r w:rsidRPr="001C576D">
              <w:rPr>
                <w:sz w:val="20"/>
              </w:rPr>
              <w:t>Группа</w:t>
            </w:r>
          </w:p>
        </w:tc>
        <w:tc>
          <w:tcPr>
            <w:tcW w:w="1220" w:type="dxa"/>
            <w:vMerge w:val="restart"/>
            <w:vAlign w:val="center"/>
          </w:tcPr>
          <w:p w:rsidR="004B0A70" w:rsidRPr="001C576D" w:rsidRDefault="004B0A70" w:rsidP="002E185D">
            <w:pPr>
              <w:pStyle w:val="a6"/>
              <w:widowControl w:val="0"/>
              <w:spacing w:after="0" w:line="228" w:lineRule="auto"/>
              <w:ind w:left="0" w:firstLine="0"/>
              <w:jc w:val="center"/>
              <w:rPr>
                <w:sz w:val="20"/>
              </w:rPr>
            </w:pPr>
            <w:r w:rsidRPr="001C576D">
              <w:rPr>
                <w:sz w:val="20"/>
              </w:rPr>
              <w:t>Норма</w:t>
            </w:r>
          </w:p>
        </w:tc>
      </w:tr>
      <w:tr w:rsidR="004B0A70" w:rsidRPr="001C576D" w:rsidTr="002E185D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352" w:type="dxa"/>
            <w:vMerge/>
            <w:vAlign w:val="center"/>
          </w:tcPr>
          <w:p w:rsidR="004B0A70" w:rsidRPr="001C576D" w:rsidRDefault="004B0A70" w:rsidP="002E185D">
            <w:pPr>
              <w:pStyle w:val="a6"/>
              <w:widowControl w:val="0"/>
              <w:spacing w:after="0" w:line="228" w:lineRule="auto"/>
              <w:ind w:left="0" w:firstLine="0"/>
              <w:rPr>
                <w:sz w:val="20"/>
              </w:rPr>
            </w:pPr>
          </w:p>
        </w:tc>
        <w:tc>
          <w:tcPr>
            <w:tcW w:w="1389" w:type="dxa"/>
            <w:vAlign w:val="center"/>
          </w:tcPr>
          <w:p w:rsidR="004B0A70" w:rsidRPr="001C576D" w:rsidRDefault="004B0A70" w:rsidP="002E185D">
            <w:pPr>
              <w:pStyle w:val="a6"/>
              <w:widowControl w:val="0"/>
              <w:spacing w:after="0" w:line="228" w:lineRule="auto"/>
              <w:ind w:left="0" w:firstLine="0"/>
              <w:jc w:val="center"/>
              <w:rPr>
                <w:sz w:val="20"/>
              </w:rPr>
            </w:pPr>
            <w:r w:rsidRPr="001C576D">
              <w:rPr>
                <w:sz w:val="20"/>
              </w:rPr>
              <w:t>Ко</w:t>
            </w:r>
            <w:r w:rsidRPr="001C576D">
              <w:rPr>
                <w:sz w:val="20"/>
              </w:rPr>
              <w:t>н</w:t>
            </w:r>
            <w:r w:rsidRPr="001C576D">
              <w:rPr>
                <w:sz w:val="20"/>
              </w:rPr>
              <w:t>трольная</w:t>
            </w:r>
          </w:p>
        </w:tc>
        <w:tc>
          <w:tcPr>
            <w:tcW w:w="1276" w:type="dxa"/>
            <w:vAlign w:val="center"/>
          </w:tcPr>
          <w:p w:rsidR="004B0A70" w:rsidRPr="001C576D" w:rsidRDefault="004B0A70" w:rsidP="002E185D">
            <w:pPr>
              <w:pStyle w:val="a6"/>
              <w:widowControl w:val="0"/>
              <w:spacing w:after="0" w:line="228" w:lineRule="auto"/>
              <w:ind w:left="0" w:firstLine="0"/>
              <w:jc w:val="center"/>
              <w:rPr>
                <w:sz w:val="20"/>
              </w:rPr>
            </w:pPr>
            <w:r w:rsidRPr="001C576D">
              <w:rPr>
                <w:sz w:val="20"/>
              </w:rPr>
              <w:t>Опытная</w:t>
            </w:r>
          </w:p>
        </w:tc>
        <w:tc>
          <w:tcPr>
            <w:tcW w:w="1220" w:type="dxa"/>
            <w:vMerge/>
            <w:vAlign w:val="center"/>
          </w:tcPr>
          <w:p w:rsidR="004B0A70" w:rsidRPr="001C576D" w:rsidRDefault="004B0A70" w:rsidP="002E185D">
            <w:pPr>
              <w:pStyle w:val="a6"/>
              <w:widowControl w:val="0"/>
              <w:spacing w:after="0" w:line="228" w:lineRule="auto"/>
              <w:ind w:left="0" w:firstLine="0"/>
              <w:rPr>
                <w:sz w:val="20"/>
              </w:rPr>
            </w:pPr>
          </w:p>
        </w:tc>
      </w:tr>
      <w:tr w:rsidR="004B0A70" w:rsidRPr="001C576D" w:rsidTr="002E18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2" w:type="dxa"/>
            <w:vAlign w:val="center"/>
          </w:tcPr>
          <w:p w:rsidR="004B0A70" w:rsidRPr="001C576D" w:rsidRDefault="004B0A70" w:rsidP="002E185D">
            <w:pPr>
              <w:pStyle w:val="a6"/>
              <w:widowControl w:val="0"/>
              <w:spacing w:after="0" w:line="228" w:lineRule="auto"/>
              <w:ind w:left="0" w:firstLine="0"/>
              <w:rPr>
                <w:sz w:val="20"/>
              </w:rPr>
            </w:pPr>
            <w:r w:rsidRPr="001C576D">
              <w:rPr>
                <w:sz w:val="20"/>
              </w:rPr>
              <w:t>Эритроциты, 10</w:t>
            </w:r>
            <w:r w:rsidRPr="001C576D">
              <w:rPr>
                <w:sz w:val="20"/>
                <w:vertAlign w:val="superscript"/>
              </w:rPr>
              <w:t>12</w:t>
            </w:r>
            <w:r w:rsidRPr="001C576D">
              <w:rPr>
                <w:sz w:val="20"/>
              </w:rPr>
              <w:t>/л</w:t>
            </w:r>
          </w:p>
        </w:tc>
        <w:tc>
          <w:tcPr>
            <w:tcW w:w="1389" w:type="dxa"/>
            <w:vAlign w:val="center"/>
          </w:tcPr>
          <w:p w:rsidR="004B0A70" w:rsidRPr="001C576D" w:rsidRDefault="004B0A70" w:rsidP="002E185D">
            <w:pPr>
              <w:pStyle w:val="a6"/>
              <w:widowControl w:val="0"/>
              <w:spacing w:after="0" w:line="228" w:lineRule="auto"/>
              <w:ind w:left="0" w:firstLine="0"/>
              <w:rPr>
                <w:sz w:val="20"/>
              </w:rPr>
            </w:pPr>
            <w:r w:rsidRPr="001C576D">
              <w:rPr>
                <w:sz w:val="20"/>
              </w:rPr>
              <w:t>9,01±0,55</w:t>
            </w:r>
          </w:p>
        </w:tc>
        <w:tc>
          <w:tcPr>
            <w:tcW w:w="1276" w:type="dxa"/>
            <w:vAlign w:val="center"/>
          </w:tcPr>
          <w:p w:rsidR="004B0A70" w:rsidRPr="001C576D" w:rsidRDefault="004B0A70" w:rsidP="002E185D">
            <w:pPr>
              <w:pStyle w:val="a6"/>
              <w:widowControl w:val="0"/>
              <w:spacing w:after="0" w:line="228" w:lineRule="auto"/>
              <w:ind w:left="0" w:firstLine="0"/>
              <w:rPr>
                <w:sz w:val="20"/>
              </w:rPr>
            </w:pPr>
            <w:r w:rsidRPr="001C576D">
              <w:rPr>
                <w:sz w:val="20"/>
              </w:rPr>
              <w:t>9,96±0,68</w:t>
            </w:r>
          </w:p>
        </w:tc>
        <w:tc>
          <w:tcPr>
            <w:tcW w:w="1220" w:type="dxa"/>
            <w:vAlign w:val="center"/>
          </w:tcPr>
          <w:p w:rsidR="004B0A70" w:rsidRPr="001C576D" w:rsidRDefault="004B0A70" w:rsidP="002E185D">
            <w:pPr>
              <w:pStyle w:val="a6"/>
              <w:widowControl w:val="0"/>
              <w:spacing w:after="0" w:line="228" w:lineRule="auto"/>
              <w:ind w:left="0" w:firstLine="0"/>
              <w:rPr>
                <w:sz w:val="20"/>
              </w:rPr>
            </w:pPr>
            <w:r w:rsidRPr="001C576D">
              <w:rPr>
                <w:sz w:val="20"/>
              </w:rPr>
              <w:t>5,4-8,8</w:t>
            </w:r>
          </w:p>
        </w:tc>
      </w:tr>
      <w:tr w:rsidR="004B0A70" w:rsidRPr="001C576D" w:rsidTr="002E18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2" w:type="dxa"/>
            <w:vAlign w:val="center"/>
          </w:tcPr>
          <w:p w:rsidR="004B0A70" w:rsidRPr="001C576D" w:rsidRDefault="004B0A70" w:rsidP="002E185D">
            <w:pPr>
              <w:pStyle w:val="a6"/>
              <w:widowControl w:val="0"/>
              <w:spacing w:after="0" w:line="228" w:lineRule="auto"/>
              <w:ind w:left="0" w:firstLine="0"/>
              <w:rPr>
                <w:sz w:val="20"/>
              </w:rPr>
            </w:pPr>
            <w:r w:rsidRPr="001C576D">
              <w:rPr>
                <w:sz w:val="20"/>
              </w:rPr>
              <w:t>Лейкоциты, 10</w:t>
            </w:r>
            <w:r w:rsidRPr="001C576D">
              <w:rPr>
                <w:sz w:val="20"/>
                <w:vertAlign w:val="superscript"/>
              </w:rPr>
              <w:t>9</w:t>
            </w:r>
            <w:r w:rsidRPr="001C576D">
              <w:rPr>
                <w:sz w:val="20"/>
              </w:rPr>
              <w:t>/л</w:t>
            </w:r>
          </w:p>
        </w:tc>
        <w:tc>
          <w:tcPr>
            <w:tcW w:w="1389" w:type="dxa"/>
            <w:vAlign w:val="center"/>
          </w:tcPr>
          <w:p w:rsidR="004B0A70" w:rsidRPr="001C576D" w:rsidRDefault="004B0A70" w:rsidP="002E185D">
            <w:pPr>
              <w:pStyle w:val="a6"/>
              <w:widowControl w:val="0"/>
              <w:spacing w:after="0" w:line="228" w:lineRule="auto"/>
              <w:ind w:left="0" w:firstLine="0"/>
              <w:rPr>
                <w:sz w:val="20"/>
              </w:rPr>
            </w:pPr>
            <w:r w:rsidRPr="001C576D">
              <w:rPr>
                <w:sz w:val="20"/>
              </w:rPr>
              <w:t>8,62±1,22</w:t>
            </w:r>
          </w:p>
        </w:tc>
        <w:tc>
          <w:tcPr>
            <w:tcW w:w="1276" w:type="dxa"/>
            <w:vAlign w:val="center"/>
          </w:tcPr>
          <w:p w:rsidR="004B0A70" w:rsidRPr="001C576D" w:rsidRDefault="004B0A70" w:rsidP="002E185D">
            <w:pPr>
              <w:pStyle w:val="a6"/>
              <w:widowControl w:val="0"/>
              <w:spacing w:after="0" w:line="228" w:lineRule="auto"/>
              <w:ind w:left="0" w:firstLine="0"/>
              <w:rPr>
                <w:sz w:val="20"/>
              </w:rPr>
            </w:pPr>
            <w:r w:rsidRPr="001C576D">
              <w:rPr>
                <w:sz w:val="20"/>
              </w:rPr>
              <w:t>10,21±1,38*</w:t>
            </w:r>
          </w:p>
        </w:tc>
        <w:tc>
          <w:tcPr>
            <w:tcW w:w="1220" w:type="dxa"/>
            <w:vAlign w:val="center"/>
          </w:tcPr>
          <w:p w:rsidR="004B0A70" w:rsidRPr="001C576D" w:rsidRDefault="004B0A70" w:rsidP="002E185D">
            <w:pPr>
              <w:pStyle w:val="a6"/>
              <w:widowControl w:val="0"/>
              <w:spacing w:after="0" w:line="228" w:lineRule="auto"/>
              <w:ind w:left="0" w:firstLine="0"/>
              <w:rPr>
                <w:sz w:val="20"/>
              </w:rPr>
            </w:pPr>
            <w:r w:rsidRPr="001C576D">
              <w:rPr>
                <w:sz w:val="20"/>
              </w:rPr>
              <w:t>6,5-10,4</w:t>
            </w:r>
          </w:p>
        </w:tc>
      </w:tr>
      <w:tr w:rsidR="004B0A70" w:rsidRPr="001C576D" w:rsidTr="002E18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2" w:type="dxa"/>
            <w:vAlign w:val="center"/>
          </w:tcPr>
          <w:p w:rsidR="004B0A70" w:rsidRPr="001C576D" w:rsidRDefault="004B0A70" w:rsidP="002E185D">
            <w:pPr>
              <w:pStyle w:val="a6"/>
              <w:widowControl w:val="0"/>
              <w:spacing w:after="0" w:line="228" w:lineRule="auto"/>
              <w:ind w:left="0" w:firstLine="0"/>
              <w:rPr>
                <w:sz w:val="20"/>
              </w:rPr>
            </w:pPr>
            <w:r w:rsidRPr="001C576D">
              <w:rPr>
                <w:sz w:val="20"/>
              </w:rPr>
              <w:t>Тромбоциты, 10</w:t>
            </w:r>
            <w:r w:rsidRPr="001C576D">
              <w:rPr>
                <w:sz w:val="20"/>
                <w:vertAlign w:val="superscript"/>
              </w:rPr>
              <w:t>9</w:t>
            </w:r>
            <w:r w:rsidRPr="001C576D">
              <w:rPr>
                <w:sz w:val="20"/>
              </w:rPr>
              <w:t>/л</w:t>
            </w:r>
          </w:p>
        </w:tc>
        <w:tc>
          <w:tcPr>
            <w:tcW w:w="1389" w:type="dxa"/>
            <w:vAlign w:val="center"/>
          </w:tcPr>
          <w:p w:rsidR="004B0A70" w:rsidRPr="001C576D" w:rsidRDefault="004B0A70" w:rsidP="002E185D">
            <w:pPr>
              <w:pStyle w:val="a6"/>
              <w:widowControl w:val="0"/>
              <w:spacing w:after="0" w:line="228" w:lineRule="auto"/>
              <w:ind w:left="0" w:firstLine="0"/>
              <w:rPr>
                <w:sz w:val="20"/>
              </w:rPr>
            </w:pPr>
            <w:r w:rsidRPr="001C576D">
              <w:rPr>
                <w:sz w:val="20"/>
              </w:rPr>
              <w:t>449,33±28,28</w:t>
            </w:r>
          </w:p>
        </w:tc>
        <w:tc>
          <w:tcPr>
            <w:tcW w:w="1276" w:type="dxa"/>
            <w:vAlign w:val="center"/>
          </w:tcPr>
          <w:p w:rsidR="004B0A70" w:rsidRPr="001C576D" w:rsidRDefault="004B0A70" w:rsidP="002E185D">
            <w:pPr>
              <w:pStyle w:val="a6"/>
              <w:widowControl w:val="0"/>
              <w:spacing w:after="0" w:line="228" w:lineRule="auto"/>
              <w:ind w:left="0" w:firstLine="0"/>
              <w:rPr>
                <w:sz w:val="20"/>
              </w:rPr>
            </w:pPr>
            <w:r w:rsidRPr="001C576D">
              <w:rPr>
                <w:sz w:val="20"/>
              </w:rPr>
              <w:t>496,00±33,0</w:t>
            </w:r>
          </w:p>
        </w:tc>
        <w:tc>
          <w:tcPr>
            <w:tcW w:w="1220" w:type="dxa"/>
            <w:vAlign w:val="center"/>
          </w:tcPr>
          <w:p w:rsidR="004B0A70" w:rsidRPr="001C576D" w:rsidRDefault="004B0A70" w:rsidP="002E185D">
            <w:pPr>
              <w:pStyle w:val="a6"/>
              <w:widowControl w:val="0"/>
              <w:spacing w:after="0" w:line="228" w:lineRule="auto"/>
              <w:ind w:left="0" w:firstLine="0"/>
              <w:rPr>
                <w:sz w:val="20"/>
              </w:rPr>
            </w:pPr>
            <w:r w:rsidRPr="001C576D">
              <w:rPr>
                <w:sz w:val="20"/>
              </w:rPr>
              <w:t>250-450</w:t>
            </w:r>
          </w:p>
        </w:tc>
      </w:tr>
      <w:tr w:rsidR="004B0A70" w:rsidRPr="001C576D" w:rsidTr="002E18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2" w:type="dxa"/>
            <w:vAlign w:val="center"/>
          </w:tcPr>
          <w:p w:rsidR="004B0A70" w:rsidRPr="001C576D" w:rsidRDefault="004B0A70" w:rsidP="002E185D">
            <w:pPr>
              <w:pStyle w:val="a6"/>
              <w:widowControl w:val="0"/>
              <w:spacing w:after="0" w:line="228" w:lineRule="auto"/>
              <w:ind w:left="0" w:firstLine="0"/>
              <w:rPr>
                <w:sz w:val="20"/>
              </w:rPr>
            </w:pPr>
            <w:r w:rsidRPr="001C576D">
              <w:rPr>
                <w:sz w:val="20"/>
              </w:rPr>
              <w:t xml:space="preserve">Гемоглобин, </w:t>
            </w:r>
            <w:proofErr w:type="gramStart"/>
            <w:r w:rsidRPr="001C576D">
              <w:rPr>
                <w:sz w:val="20"/>
              </w:rPr>
              <w:t>г</w:t>
            </w:r>
            <w:proofErr w:type="gramEnd"/>
            <w:r w:rsidRPr="001C576D">
              <w:rPr>
                <w:sz w:val="20"/>
              </w:rPr>
              <w:t>/л</w:t>
            </w:r>
          </w:p>
        </w:tc>
        <w:tc>
          <w:tcPr>
            <w:tcW w:w="1389" w:type="dxa"/>
            <w:vAlign w:val="center"/>
          </w:tcPr>
          <w:p w:rsidR="004B0A70" w:rsidRPr="001C576D" w:rsidRDefault="004B0A70" w:rsidP="002E185D">
            <w:pPr>
              <w:pStyle w:val="ac"/>
              <w:widowControl w:val="0"/>
              <w:spacing w:after="0" w:line="228" w:lineRule="auto"/>
              <w:jc w:val="both"/>
              <w:rPr>
                <w:bCs/>
                <w:sz w:val="20"/>
                <w:szCs w:val="20"/>
              </w:rPr>
            </w:pPr>
            <w:r w:rsidRPr="001C576D">
              <w:rPr>
                <w:bCs/>
                <w:sz w:val="20"/>
                <w:szCs w:val="20"/>
              </w:rPr>
              <w:t>98,00±7,02</w:t>
            </w:r>
          </w:p>
        </w:tc>
        <w:tc>
          <w:tcPr>
            <w:tcW w:w="1276" w:type="dxa"/>
            <w:vAlign w:val="center"/>
          </w:tcPr>
          <w:p w:rsidR="004B0A70" w:rsidRPr="001C576D" w:rsidRDefault="004B0A70" w:rsidP="002E185D">
            <w:pPr>
              <w:pStyle w:val="ac"/>
              <w:widowControl w:val="0"/>
              <w:spacing w:after="0" w:line="228" w:lineRule="auto"/>
              <w:jc w:val="both"/>
              <w:rPr>
                <w:bCs/>
                <w:sz w:val="20"/>
                <w:szCs w:val="20"/>
              </w:rPr>
            </w:pPr>
            <w:r w:rsidRPr="001C576D">
              <w:rPr>
                <w:bCs/>
                <w:sz w:val="20"/>
                <w:szCs w:val="20"/>
              </w:rPr>
              <w:t>111,75±5,2*</w:t>
            </w:r>
          </w:p>
        </w:tc>
        <w:tc>
          <w:tcPr>
            <w:tcW w:w="1220" w:type="dxa"/>
            <w:vAlign w:val="center"/>
          </w:tcPr>
          <w:p w:rsidR="004B0A70" w:rsidRPr="001C576D" w:rsidRDefault="004B0A70" w:rsidP="002E185D">
            <w:pPr>
              <w:pStyle w:val="a6"/>
              <w:widowControl w:val="0"/>
              <w:spacing w:after="0" w:line="228" w:lineRule="auto"/>
              <w:ind w:left="0" w:firstLine="0"/>
              <w:rPr>
                <w:sz w:val="20"/>
              </w:rPr>
            </w:pPr>
            <w:r w:rsidRPr="001C576D">
              <w:rPr>
                <w:sz w:val="20"/>
              </w:rPr>
              <w:t>90-120</w:t>
            </w:r>
          </w:p>
        </w:tc>
      </w:tr>
      <w:tr w:rsidR="004B0A70" w:rsidRPr="001C576D" w:rsidTr="002E185D">
        <w:tblPrEx>
          <w:tblCellMar>
            <w:top w:w="0" w:type="dxa"/>
            <w:bottom w:w="0" w:type="dxa"/>
          </w:tblCellMar>
        </w:tblPrEx>
        <w:trPr>
          <w:trHeight w:val="176"/>
          <w:jc w:val="center"/>
        </w:trPr>
        <w:tc>
          <w:tcPr>
            <w:tcW w:w="2352" w:type="dxa"/>
            <w:tcBorders>
              <w:bottom w:val="single" w:sz="4" w:space="0" w:color="auto"/>
            </w:tcBorders>
            <w:vAlign w:val="center"/>
          </w:tcPr>
          <w:p w:rsidR="004B0A70" w:rsidRPr="001C576D" w:rsidRDefault="004B0A70" w:rsidP="002E185D">
            <w:pPr>
              <w:pStyle w:val="a6"/>
              <w:widowControl w:val="0"/>
              <w:spacing w:after="0" w:line="228" w:lineRule="auto"/>
              <w:ind w:left="0" w:firstLine="0"/>
              <w:rPr>
                <w:sz w:val="20"/>
              </w:rPr>
            </w:pPr>
            <w:r w:rsidRPr="001C576D">
              <w:rPr>
                <w:sz w:val="20"/>
              </w:rPr>
              <w:t>Гематокрит,</w:t>
            </w:r>
            <w:r>
              <w:rPr>
                <w:sz w:val="20"/>
              </w:rPr>
              <w:t>%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4B0A70" w:rsidRPr="001C576D" w:rsidRDefault="004B0A70" w:rsidP="002E185D">
            <w:pPr>
              <w:pStyle w:val="ac"/>
              <w:widowControl w:val="0"/>
              <w:spacing w:after="0" w:line="228" w:lineRule="auto"/>
              <w:jc w:val="both"/>
              <w:rPr>
                <w:bCs/>
                <w:sz w:val="20"/>
                <w:szCs w:val="20"/>
              </w:rPr>
            </w:pPr>
            <w:r w:rsidRPr="001C576D">
              <w:rPr>
                <w:bCs/>
                <w:sz w:val="20"/>
                <w:szCs w:val="20"/>
              </w:rPr>
              <w:t>26,89±1,89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B0A70" w:rsidRPr="001C576D" w:rsidRDefault="004B0A70" w:rsidP="002E185D">
            <w:pPr>
              <w:pStyle w:val="ac"/>
              <w:widowControl w:val="0"/>
              <w:spacing w:after="0" w:line="228" w:lineRule="auto"/>
              <w:jc w:val="both"/>
              <w:rPr>
                <w:bCs/>
                <w:sz w:val="20"/>
                <w:szCs w:val="20"/>
              </w:rPr>
            </w:pPr>
            <w:r w:rsidRPr="001C576D">
              <w:rPr>
                <w:bCs/>
                <w:sz w:val="20"/>
                <w:szCs w:val="20"/>
              </w:rPr>
              <w:t>36,24±2,1**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:rsidR="004B0A70" w:rsidRPr="001C576D" w:rsidRDefault="004B0A70" w:rsidP="002E185D">
            <w:pPr>
              <w:pStyle w:val="a6"/>
              <w:widowControl w:val="0"/>
              <w:spacing w:after="0" w:line="228" w:lineRule="auto"/>
              <w:ind w:left="0" w:firstLine="0"/>
              <w:rPr>
                <w:sz w:val="20"/>
              </w:rPr>
            </w:pPr>
            <w:r w:rsidRPr="001C576D">
              <w:rPr>
                <w:sz w:val="20"/>
              </w:rPr>
              <w:t>35-46</w:t>
            </w:r>
          </w:p>
        </w:tc>
      </w:tr>
      <w:tr w:rsidR="004B0A70" w:rsidRPr="001C576D" w:rsidTr="002E185D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0A70" w:rsidRPr="00124A9D" w:rsidRDefault="004B0A70" w:rsidP="002E185D">
            <w:pPr>
              <w:pStyle w:val="a6"/>
              <w:widowControl w:val="0"/>
              <w:spacing w:after="0" w:line="216" w:lineRule="auto"/>
              <w:ind w:left="0" w:firstLine="0"/>
              <w:rPr>
                <w:sz w:val="16"/>
                <w:szCs w:val="16"/>
              </w:rPr>
            </w:pPr>
            <w:r w:rsidRPr="00124A9D">
              <w:rPr>
                <w:sz w:val="16"/>
                <w:szCs w:val="16"/>
              </w:rPr>
              <w:t xml:space="preserve">* — </w:t>
            </w:r>
            <w:proofErr w:type="gramStart"/>
            <w:r w:rsidRPr="00124A9D">
              <w:rPr>
                <w:sz w:val="16"/>
                <w:szCs w:val="16"/>
              </w:rPr>
              <w:t>Р</w:t>
            </w:r>
            <w:proofErr w:type="gramEnd"/>
            <w:r w:rsidRPr="00124A9D">
              <w:rPr>
                <w:sz w:val="16"/>
                <w:szCs w:val="16"/>
              </w:rPr>
              <w:t>&lt;0,05 ** — Р&lt;0,01</w:t>
            </w:r>
          </w:p>
        </w:tc>
      </w:tr>
    </w:tbl>
    <w:p w:rsidR="004B0A70" w:rsidRDefault="004B0A70" w:rsidP="004B0A70">
      <w:pPr>
        <w:pStyle w:val="3"/>
        <w:spacing w:after="0"/>
        <w:ind w:left="0" w:firstLine="284"/>
        <w:jc w:val="both"/>
        <w:rPr>
          <w:sz w:val="20"/>
          <w:szCs w:val="20"/>
        </w:rPr>
      </w:pPr>
      <w:r w:rsidRPr="001C576D">
        <w:rPr>
          <w:sz w:val="20"/>
          <w:szCs w:val="20"/>
        </w:rPr>
        <w:t>Увеличилось содержание лейкоцитов на 18,4</w:t>
      </w:r>
      <w:r>
        <w:rPr>
          <w:sz w:val="20"/>
          <w:szCs w:val="20"/>
        </w:rPr>
        <w:t>%</w:t>
      </w:r>
      <w:r w:rsidRPr="001C576D">
        <w:rPr>
          <w:sz w:val="20"/>
          <w:szCs w:val="20"/>
        </w:rPr>
        <w:t xml:space="preserve"> (</w:t>
      </w:r>
      <w:proofErr w:type="gramStart"/>
      <w:r w:rsidRPr="001C576D">
        <w:rPr>
          <w:sz w:val="20"/>
          <w:szCs w:val="20"/>
        </w:rPr>
        <w:t>Р</w:t>
      </w:r>
      <w:proofErr w:type="gramEnd"/>
      <w:r w:rsidRPr="001C576D">
        <w:rPr>
          <w:sz w:val="20"/>
          <w:szCs w:val="20"/>
        </w:rPr>
        <w:t>&lt;0,05), а также гемоглобина на 14</w:t>
      </w:r>
      <w:r>
        <w:rPr>
          <w:sz w:val="20"/>
          <w:szCs w:val="20"/>
        </w:rPr>
        <w:t>%</w:t>
      </w:r>
      <w:r w:rsidRPr="001C576D">
        <w:rPr>
          <w:sz w:val="20"/>
          <w:szCs w:val="20"/>
        </w:rPr>
        <w:t xml:space="preserve"> (Р&lt;0,05). Гематокритное число у животных опы</w:t>
      </w:r>
      <w:r w:rsidRPr="001C576D">
        <w:rPr>
          <w:sz w:val="20"/>
          <w:szCs w:val="20"/>
        </w:rPr>
        <w:t>т</w:t>
      </w:r>
      <w:r w:rsidRPr="001C576D">
        <w:rPr>
          <w:sz w:val="20"/>
          <w:szCs w:val="20"/>
        </w:rPr>
        <w:t>ной группы увеличилось на 9,35 процентных пункта в сравнении с контролем и составило 36,24%, что соответствует физиологической норме и свидетельствует о нормализации соотношения в крови фо</w:t>
      </w:r>
      <w:r w:rsidRPr="001C576D">
        <w:rPr>
          <w:sz w:val="20"/>
          <w:szCs w:val="20"/>
        </w:rPr>
        <w:t>р</w:t>
      </w:r>
      <w:r w:rsidRPr="001C576D">
        <w:rPr>
          <w:sz w:val="20"/>
          <w:szCs w:val="20"/>
        </w:rPr>
        <w:t>менных элементов и воды.</w:t>
      </w:r>
    </w:p>
    <w:p w:rsidR="004B0A70" w:rsidRPr="001C576D" w:rsidRDefault="004B0A70" w:rsidP="004B0A70">
      <w:pPr>
        <w:pStyle w:val="3"/>
        <w:spacing w:after="0"/>
        <w:ind w:left="0" w:firstLine="284"/>
        <w:jc w:val="both"/>
        <w:rPr>
          <w:sz w:val="20"/>
          <w:szCs w:val="20"/>
        </w:rPr>
      </w:pPr>
      <w:r w:rsidRPr="001C576D">
        <w:rPr>
          <w:sz w:val="20"/>
          <w:szCs w:val="20"/>
        </w:rPr>
        <w:t xml:space="preserve">Анализ </w:t>
      </w:r>
      <w:r w:rsidRPr="001C576D">
        <w:rPr>
          <w:bCs/>
          <w:sz w:val="20"/>
          <w:szCs w:val="20"/>
        </w:rPr>
        <w:t>показателей иммунобиологической реактивности орг</w:t>
      </w:r>
      <w:r w:rsidRPr="001C576D">
        <w:rPr>
          <w:bCs/>
          <w:sz w:val="20"/>
          <w:szCs w:val="20"/>
        </w:rPr>
        <w:t>а</w:t>
      </w:r>
      <w:r w:rsidRPr="001C576D">
        <w:rPr>
          <w:bCs/>
          <w:sz w:val="20"/>
          <w:szCs w:val="20"/>
        </w:rPr>
        <w:t xml:space="preserve">низма телят показал, что </w:t>
      </w:r>
      <w:r w:rsidRPr="001C576D">
        <w:rPr>
          <w:sz w:val="20"/>
          <w:szCs w:val="20"/>
        </w:rPr>
        <w:t>в начале исследований (табл</w:t>
      </w:r>
      <w:r>
        <w:rPr>
          <w:sz w:val="20"/>
          <w:szCs w:val="20"/>
        </w:rPr>
        <w:t>ица</w:t>
      </w:r>
      <w:r w:rsidRPr="001C576D">
        <w:rPr>
          <w:sz w:val="20"/>
          <w:szCs w:val="20"/>
        </w:rPr>
        <w:t xml:space="preserve"> 4) концентрация общего белка в сыворотке крови животных обеих групп была примерно на одном уровне. Сравнивая межгрупповые различия по содерж</w:t>
      </w:r>
      <w:r w:rsidRPr="001C576D">
        <w:rPr>
          <w:sz w:val="20"/>
          <w:szCs w:val="20"/>
        </w:rPr>
        <w:t>а</w:t>
      </w:r>
      <w:r w:rsidRPr="001C576D">
        <w:rPr>
          <w:sz w:val="20"/>
          <w:szCs w:val="20"/>
        </w:rPr>
        <w:t>нию глобулинов, следует отметить, что их количество у животных опытной группы была несколько ниже, чем в контроле</w:t>
      </w:r>
      <w:r>
        <w:rPr>
          <w:sz w:val="20"/>
          <w:szCs w:val="20"/>
        </w:rPr>
        <w:t>,</w:t>
      </w:r>
      <w:r w:rsidRPr="001C576D">
        <w:rPr>
          <w:sz w:val="20"/>
          <w:szCs w:val="20"/>
        </w:rPr>
        <w:t xml:space="preserve"> и составляла 28,79 г/л, в ко</w:t>
      </w:r>
      <w:r w:rsidRPr="001C576D">
        <w:rPr>
          <w:sz w:val="20"/>
          <w:szCs w:val="20"/>
        </w:rPr>
        <w:t>н</w:t>
      </w:r>
      <w:r w:rsidRPr="001C576D">
        <w:rPr>
          <w:sz w:val="20"/>
          <w:szCs w:val="20"/>
        </w:rPr>
        <w:t>троле – 30,47 г/л. Фагоцитарная активность лейкоцитов отмечалась на невысоком уровне у животных всех подопытных групп и наход</w:t>
      </w:r>
      <w:r w:rsidRPr="001C576D">
        <w:rPr>
          <w:sz w:val="20"/>
          <w:szCs w:val="20"/>
        </w:rPr>
        <w:t>и</w:t>
      </w:r>
      <w:r w:rsidRPr="001C576D">
        <w:rPr>
          <w:sz w:val="20"/>
          <w:szCs w:val="20"/>
        </w:rPr>
        <w:t>лась в пределах 31,3</w:t>
      </w:r>
      <w:r>
        <w:rPr>
          <w:sz w:val="20"/>
          <w:szCs w:val="20"/>
        </w:rPr>
        <w:t>%</w:t>
      </w:r>
      <w:r w:rsidRPr="001C576D">
        <w:rPr>
          <w:sz w:val="20"/>
          <w:szCs w:val="20"/>
        </w:rPr>
        <w:t xml:space="preserve"> – 32,2</w:t>
      </w:r>
      <w:r>
        <w:rPr>
          <w:sz w:val="20"/>
          <w:szCs w:val="20"/>
        </w:rPr>
        <w:t>%</w:t>
      </w:r>
      <w:r w:rsidRPr="001C576D">
        <w:rPr>
          <w:sz w:val="20"/>
          <w:szCs w:val="20"/>
        </w:rPr>
        <w:t xml:space="preserve">. </w:t>
      </w:r>
    </w:p>
    <w:p w:rsidR="004B0A70" w:rsidRPr="001C576D" w:rsidRDefault="004B0A70" w:rsidP="004B0A70">
      <w:pPr>
        <w:pStyle w:val="3"/>
        <w:spacing w:after="60"/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Таблица 4 – </w:t>
      </w:r>
      <w:r w:rsidRPr="001C576D">
        <w:rPr>
          <w:sz w:val="20"/>
          <w:szCs w:val="20"/>
        </w:rPr>
        <w:t xml:space="preserve">Показатели </w:t>
      </w:r>
      <w:r w:rsidRPr="001C576D">
        <w:rPr>
          <w:bCs/>
          <w:sz w:val="20"/>
          <w:szCs w:val="20"/>
        </w:rPr>
        <w:t>иммунобиологической</w:t>
      </w:r>
      <w:r w:rsidRPr="001C576D">
        <w:rPr>
          <w:sz w:val="20"/>
          <w:szCs w:val="20"/>
        </w:rPr>
        <w:t xml:space="preserve"> реактивности орг</w:t>
      </w:r>
      <w:r w:rsidRPr="001C576D">
        <w:rPr>
          <w:sz w:val="20"/>
          <w:szCs w:val="20"/>
        </w:rPr>
        <w:t>а</w:t>
      </w:r>
      <w:r w:rsidRPr="001C576D">
        <w:rPr>
          <w:sz w:val="20"/>
          <w:szCs w:val="20"/>
        </w:rPr>
        <w:t>низма телят</w:t>
      </w: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9"/>
        <w:gridCol w:w="1214"/>
        <w:gridCol w:w="1215"/>
        <w:gridCol w:w="1214"/>
        <w:gridCol w:w="1215"/>
      </w:tblGrid>
      <w:tr w:rsidR="004B0A70" w:rsidRPr="001C576D" w:rsidTr="002E185D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379" w:type="dxa"/>
            <w:vMerge w:val="restart"/>
            <w:vAlign w:val="center"/>
          </w:tcPr>
          <w:p w:rsidR="004B0A70" w:rsidRPr="00124A9D" w:rsidRDefault="004B0A70" w:rsidP="002E185D">
            <w:pPr>
              <w:jc w:val="center"/>
              <w:rPr>
                <w:sz w:val="20"/>
                <w:szCs w:val="20"/>
              </w:rPr>
            </w:pPr>
            <w:r w:rsidRPr="00124A9D">
              <w:rPr>
                <w:sz w:val="20"/>
                <w:szCs w:val="20"/>
              </w:rPr>
              <w:t>Показатели</w:t>
            </w:r>
          </w:p>
        </w:tc>
        <w:tc>
          <w:tcPr>
            <w:tcW w:w="2429" w:type="dxa"/>
            <w:gridSpan w:val="2"/>
            <w:vAlign w:val="center"/>
          </w:tcPr>
          <w:p w:rsidR="004B0A70" w:rsidRPr="00124A9D" w:rsidRDefault="004B0A70" w:rsidP="002E185D">
            <w:pPr>
              <w:jc w:val="center"/>
              <w:rPr>
                <w:sz w:val="20"/>
                <w:szCs w:val="20"/>
              </w:rPr>
            </w:pPr>
            <w:r w:rsidRPr="00124A9D">
              <w:rPr>
                <w:sz w:val="20"/>
                <w:szCs w:val="20"/>
              </w:rPr>
              <w:t>В начале опыта</w:t>
            </w:r>
          </w:p>
        </w:tc>
        <w:tc>
          <w:tcPr>
            <w:tcW w:w="2429" w:type="dxa"/>
            <w:gridSpan w:val="2"/>
            <w:vAlign w:val="center"/>
          </w:tcPr>
          <w:p w:rsidR="004B0A70" w:rsidRPr="00124A9D" w:rsidRDefault="004B0A70" w:rsidP="002E185D">
            <w:pPr>
              <w:jc w:val="center"/>
              <w:rPr>
                <w:sz w:val="20"/>
                <w:szCs w:val="20"/>
              </w:rPr>
            </w:pPr>
            <w:r w:rsidRPr="00124A9D">
              <w:rPr>
                <w:sz w:val="20"/>
                <w:szCs w:val="20"/>
              </w:rPr>
              <w:t>В конце опыта</w:t>
            </w:r>
          </w:p>
        </w:tc>
      </w:tr>
      <w:tr w:rsidR="004B0A70" w:rsidRPr="001C576D" w:rsidTr="002E185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379" w:type="dxa"/>
            <w:vMerge/>
            <w:vAlign w:val="center"/>
          </w:tcPr>
          <w:p w:rsidR="004B0A70" w:rsidRPr="00124A9D" w:rsidRDefault="004B0A70" w:rsidP="002E1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4B0A70" w:rsidRPr="00124A9D" w:rsidRDefault="004B0A70" w:rsidP="002E185D">
            <w:pPr>
              <w:jc w:val="center"/>
              <w:rPr>
                <w:sz w:val="20"/>
                <w:szCs w:val="20"/>
              </w:rPr>
            </w:pPr>
            <w:r w:rsidRPr="00124A9D">
              <w:rPr>
                <w:sz w:val="20"/>
                <w:szCs w:val="20"/>
              </w:rPr>
              <w:t>Контрол</w:t>
            </w:r>
            <w:r w:rsidRPr="00124A9D">
              <w:rPr>
                <w:sz w:val="20"/>
                <w:szCs w:val="20"/>
              </w:rPr>
              <w:t>ь</w:t>
            </w:r>
            <w:r w:rsidRPr="00124A9D">
              <w:rPr>
                <w:sz w:val="20"/>
                <w:szCs w:val="20"/>
              </w:rPr>
              <w:t>ная</w:t>
            </w:r>
          </w:p>
        </w:tc>
        <w:tc>
          <w:tcPr>
            <w:tcW w:w="1215" w:type="dxa"/>
            <w:vAlign w:val="center"/>
          </w:tcPr>
          <w:p w:rsidR="004B0A70" w:rsidRPr="00124A9D" w:rsidRDefault="004B0A70" w:rsidP="002E185D">
            <w:pPr>
              <w:jc w:val="center"/>
              <w:rPr>
                <w:sz w:val="20"/>
                <w:szCs w:val="20"/>
              </w:rPr>
            </w:pPr>
            <w:r w:rsidRPr="00124A9D">
              <w:rPr>
                <w:sz w:val="20"/>
                <w:szCs w:val="20"/>
              </w:rPr>
              <w:t>Опытная</w:t>
            </w:r>
          </w:p>
        </w:tc>
        <w:tc>
          <w:tcPr>
            <w:tcW w:w="1214" w:type="dxa"/>
            <w:vAlign w:val="center"/>
          </w:tcPr>
          <w:p w:rsidR="004B0A70" w:rsidRPr="00124A9D" w:rsidRDefault="004B0A70" w:rsidP="002E185D">
            <w:pPr>
              <w:jc w:val="center"/>
              <w:rPr>
                <w:sz w:val="20"/>
                <w:szCs w:val="20"/>
              </w:rPr>
            </w:pPr>
            <w:r w:rsidRPr="00124A9D">
              <w:rPr>
                <w:sz w:val="20"/>
                <w:szCs w:val="20"/>
              </w:rPr>
              <w:t>Контрол</w:t>
            </w:r>
            <w:r w:rsidRPr="00124A9D">
              <w:rPr>
                <w:sz w:val="20"/>
                <w:szCs w:val="20"/>
              </w:rPr>
              <w:t>ь</w:t>
            </w:r>
            <w:r w:rsidRPr="00124A9D">
              <w:rPr>
                <w:sz w:val="20"/>
                <w:szCs w:val="20"/>
              </w:rPr>
              <w:t>ная</w:t>
            </w:r>
          </w:p>
        </w:tc>
        <w:tc>
          <w:tcPr>
            <w:tcW w:w="1215" w:type="dxa"/>
            <w:vAlign w:val="center"/>
          </w:tcPr>
          <w:p w:rsidR="004B0A70" w:rsidRPr="00124A9D" w:rsidRDefault="004B0A70" w:rsidP="002E185D">
            <w:pPr>
              <w:jc w:val="center"/>
              <w:rPr>
                <w:sz w:val="20"/>
                <w:szCs w:val="20"/>
              </w:rPr>
            </w:pPr>
            <w:r w:rsidRPr="00124A9D">
              <w:rPr>
                <w:sz w:val="20"/>
                <w:szCs w:val="20"/>
              </w:rPr>
              <w:t>Опытная</w:t>
            </w:r>
          </w:p>
        </w:tc>
      </w:tr>
      <w:tr w:rsidR="004B0A70" w:rsidRPr="001C576D" w:rsidTr="002E185D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379" w:type="dxa"/>
            <w:vAlign w:val="center"/>
          </w:tcPr>
          <w:p w:rsidR="004B0A70" w:rsidRPr="00124A9D" w:rsidRDefault="004B0A70" w:rsidP="002E185D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124A9D">
              <w:rPr>
                <w:rFonts w:ascii="Times New Roman" w:hAnsi="Times New Roman" w:cs="Times New Roman"/>
                <w:b w:val="0"/>
                <w:bCs w:val="0"/>
                <w:sz w:val="20"/>
              </w:rPr>
              <w:t>Общий б</w:t>
            </w:r>
            <w:r w:rsidRPr="00124A9D">
              <w:rPr>
                <w:rFonts w:ascii="Times New Roman" w:hAnsi="Times New Roman" w:cs="Times New Roman"/>
                <w:b w:val="0"/>
                <w:bCs w:val="0"/>
                <w:sz w:val="20"/>
              </w:rPr>
              <w:t>е</w:t>
            </w:r>
            <w:r w:rsidRPr="00124A9D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лок, </w:t>
            </w:r>
            <w:proofErr w:type="gramStart"/>
            <w:r w:rsidRPr="00124A9D">
              <w:rPr>
                <w:rFonts w:ascii="Times New Roman" w:hAnsi="Times New Roman" w:cs="Times New Roman"/>
                <w:b w:val="0"/>
                <w:bCs w:val="0"/>
                <w:sz w:val="20"/>
              </w:rPr>
              <w:t>г</w:t>
            </w:r>
            <w:proofErr w:type="gramEnd"/>
            <w:r w:rsidRPr="00124A9D">
              <w:rPr>
                <w:rFonts w:ascii="Times New Roman" w:hAnsi="Times New Roman" w:cs="Times New Roman"/>
                <w:b w:val="0"/>
                <w:bCs w:val="0"/>
                <w:sz w:val="20"/>
              </w:rPr>
              <w:t>/л</w:t>
            </w:r>
          </w:p>
        </w:tc>
        <w:tc>
          <w:tcPr>
            <w:tcW w:w="1214" w:type="dxa"/>
            <w:vAlign w:val="center"/>
          </w:tcPr>
          <w:p w:rsidR="004B0A70" w:rsidRPr="00124A9D" w:rsidRDefault="004B0A70" w:rsidP="002E185D">
            <w:pPr>
              <w:jc w:val="center"/>
              <w:rPr>
                <w:sz w:val="20"/>
                <w:szCs w:val="20"/>
              </w:rPr>
            </w:pPr>
            <w:r w:rsidRPr="00124A9D">
              <w:rPr>
                <w:sz w:val="20"/>
                <w:szCs w:val="20"/>
              </w:rPr>
              <w:t>62,36±3,3</w:t>
            </w:r>
          </w:p>
        </w:tc>
        <w:tc>
          <w:tcPr>
            <w:tcW w:w="1215" w:type="dxa"/>
            <w:vAlign w:val="center"/>
          </w:tcPr>
          <w:p w:rsidR="004B0A70" w:rsidRPr="00124A9D" w:rsidRDefault="004B0A70" w:rsidP="002E185D">
            <w:pPr>
              <w:jc w:val="center"/>
              <w:rPr>
                <w:sz w:val="20"/>
                <w:szCs w:val="20"/>
              </w:rPr>
            </w:pPr>
            <w:r w:rsidRPr="00124A9D">
              <w:rPr>
                <w:sz w:val="20"/>
                <w:szCs w:val="20"/>
              </w:rPr>
              <w:t>61,25±2,7</w:t>
            </w:r>
          </w:p>
        </w:tc>
        <w:tc>
          <w:tcPr>
            <w:tcW w:w="1214" w:type="dxa"/>
            <w:vAlign w:val="center"/>
          </w:tcPr>
          <w:p w:rsidR="004B0A70" w:rsidRPr="00124A9D" w:rsidRDefault="004B0A70" w:rsidP="002E185D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124A9D">
              <w:rPr>
                <w:rFonts w:ascii="Times New Roman" w:hAnsi="Times New Roman" w:cs="Times New Roman"/>
                <w:b w:val="0"/>
                <w:bCs w:val="0"/>
                <w:sz w:val="20"/>
              </w:rPr>
              <w:t>59,7±1,7</w:t>
            </w:r>
          </w:p>
        </w:tc>
        <w:tc>
          <w:tcPr>
            <w:tcW w:w="1215" w:type="dxa"/>
            <w:vAlign w:val="center"/>
          </w:tcPr>
          <w:p w:rsidR="004B0A70" w:rsidRPr="00124A9D" w:rsidRDefault="004B0A70" w:rsidP="002E185D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124A9D">
              <w:rPr>
                <w:rFonts w:ascii="Times New Roman" w:hAnsi="Times New Roman" w:cs="Times New Roman"/>
                <w:b w:val="0"/>
                <w:bCs w:val="0"/>
                <w:sz w:val="20"/>
              </w:rPr>
              <w:t>67,48±2,2*</w:t>
            </w:r>
          </w:p>
        </w:tc>
      </w:tr>
      <w:tr w:rsidR="004B0A70" w:rsidRPr="001C576D" w:rsidTr="002E18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9" w:type="dxa"/>
            <w:vAlign w:val="center"/>
          </w:tcPr>
          <w:p w:rsidR="004B0A70" w:rsidRPr="00124A9D" w:rsidRDefault="004B0A70" w:rsidP="002E185D">
            <w:pPr>
              <w:jc w:val="center"/>
              <w:rPr>
                <w:sz w:val="20"/>
                <w:szCs w:val="20"/>
              </w:rPr>
            </w:pPr>
            <w:r w:rsidRPr="00124A9D">
              <w:rPr>
                <w:sz w:val="20"/>
                <w:szCs w:val="20"/>
              </w:rPr>
              <w:t xml:space="preserve">Альбумины, </w:t>
            </w:r>
            <w:proofErr w:type="gramStart"/>
            <w:r w:rsidRPr="00124A9D">
              <w:rPr>
                <w:sz w:val="20"/>
                <w:szCs w:val="20"/>
              </w:rPr>
              <w:t>г</w:t>
            </w:r>
            <w:proofErr w:type="gramEnd"/>
            <w:r w:rsidRPr="00124A9D">
              <w:rPr>
                <w:sz w:val="20"/>
                <w:szCs w:val="20"/>
              </w:rPr>
              <w:t>/л</w:t>
            </w:r>
          </w:p>
        </w:tc>
        <w:tc>
          <w:tcPr>
            <w:tcW w:w="1214" w:type="dxa"/>
            <w:vAlign w:val="center"/>
          </w:tcPr>
          <w:p w:rsidR="004B0A70" w:rsidRPr="00124A9D" w:rsidRDefault="004B0A70" w:rsidP="002E185D">
            <w:pPr>
              <w:jc w:val="center"/>
              <w:rPr>
                <w:sz w:val="20"/>
                <w:szCs w:val="20"/>
              </w:rPr>
            </w:pPr>
            <w:r w:rsidRPr="00124A9D">
              <w:rPr>
                <w:sz w:val="20"/>
                <w:szCs w:val="20"/>
              </w:rPr>
              <w:t>31,79±0,7</w:t>
            </w:r>
          </w:p>
        </w:tc>
        <w:tc>
          <w:tcPr>
            <w:tcW w:w="1215" w:type="dxa"/>
            <w:vAlign w:val="center"/>
          </w:tcPr>
          <w:p w:rsidR="004B0A70" w:rsidRPr="00124A9D" w:rsidRDefault="004B0A70" w:rsidP="002E185D">
            <w:pPr>
              <w:jc w:val="center"/>
              <w:rPr>
                <w:sz w:val="20"/>
                <w:szCs w:val="20"/>
              </w:rPr>
            </w:pPr>
            <w:r w:rsidRPr="00124A9D">
              <w:rPr>
                <w:sz w:val="20"/>
                <w:szCs w:val="20"/>
              </w:rPr>
              <w:t>33,28±1,1</w:t>
            </w:r>
          </w:p>
        </w:tc>
        <w:tc>
          <w:tcPr>
            <w:tcW w:w="1214" w:type="dxa"/>
            <w:vAlign w:val="center"/>
          </w:tcPr>
          <w:p w:rsidR="004B0A70" w:rsidRPr="00124A9D" w:rsidRDefault="004B0A70" w:rsidP="002E185D">
            <w:pPr>
              <w:jc w:val="center"/>
              <w:rPr>
                <w:sz w:val="20"/>
                <w:szCs w:val="20"/>
              </w:rPr>
            </w:pPr>
            <w:r w:rsidRPr="00124A9D">
              <w:rPr>
                <w:sz w:val="20"/>
                <w:szCs w:val="20"/>
              </w:rPr>
              <w:t>31,9±0,74</w:t>
            </w:r>
          </w:p>
        </w:tc>
        <w:tc>
          <w:tcPr>
            <w:tcW w:w="1215" w:type="dxa"/>
            <w:vAlign w:val="center"/>
          </w:tcPr>
          <w:p w:rsidR="004B0A70" w:rsidRPr="00124A9D" w:rsidRDefault="004B0A70" w:rsidP="002E185D">
            <w:pPr>
              <w:jc w:val="center"/>
              <w:rPr>
                <w:sz w:val="20"/>
                <w:szCs w:val="20"/>
              </w:rPr>
            </w:pPr>
            <w:r w:rsidRPr="00124A9D">
              <w:rPr>
                <w:sz w:val="20"/>
                <w:szCs w:val="20"/>
              </w:rPr>
              <w:t>33,33±0,7</w:t>
            </w:r>
          </w:p>
        </w:tc>
      </w:tr>
      <w:tr w:rsidR="004B0A70" w:rsidRPr="001C576D" w:rsidTr="002E185D">
        <w:tblPrEx>
          <w:tblCellMar>
            <w:top w:w="0" w:type="dxa"/>
            <w:bottom w:w="0" w:type="dxa"/>
          </w:tblCellMar>
        </w:tblPrEx>
        <w:trPr>
          <w:trHeight w:val="353"/>
          <w:jc w:val="center"/>
        </w:trPr>
        <w:tc>
          <w:tcPr>
            <w:tcW w:w="1379" w:type="dxa"/>
            <w:vAlign w:val="center"/>
          </w:tcPr>
          <w:p w:rsidR="004B0A70" w:rsidRPr="00124A9D" w:rsidRDefault="004B0A70" w:rsidP="002E185D">
            <w:pPr>
              <w:jc w:val="center"/>
              <w:rPr>
                <w:sz w:val="20"/>
                <w:szCs w:val="20"/>
              </w:rPr>
            </w:pPr>
            <w:r w:rsidRPr="00124A9D">
              <w:rPr>
                <w:sz w:val="20"/>
                <w:szCs w:val="20"/>
              </w:rPr>
              <w:t xml:space="preserve">Глобулины, </w:t>
            </w:r>
            <w:proofErr w:type="gramStart"/>
            <w:r w:rsidRPr="00124A9D">
              <w:rPr>
                <w:sz w:val="20"/>
                <w:szCs w:val="20"/>
              </w:rPr>
              <w:t>г</w:t>
            </w:r>
            <w:proofErr w:type="gramEnd"/>
            <w:r w:rsidRPr="00124A9D">
              <w:rPr>
                <w:sz w:val="20"/>
                <w:szCs w:val="20"/>
              </w:rPr>
              <w:t>/л</w:t>
            </w:r>
          </w:p>
        </w:tc>
        <w:tc>
          <w:tcPr>
            <w:tcW w:w="1214" w:type="dxa"/>
            <w:vAlign w:val="center"/>
          </w:tcPr>
          <w:p w:rsidR="004B0A70" w:rsidRPr="00124A9D" w:rsidRDefault="004B0A70" w:rsidP="002E185D">
            <w:pPr>
              <w:jc w:val="center"/>
              <w:rPr>
                <w:sz w:val="20"/>
                <w:szCs w:val="20"/>
              </w:rPr>
            </w:pPr>
            <w:r w:rsidRPr="00124A9D">
              <w:rPr>
                <w:sz w:val="20"/>
                <w:szCs w:val="20"/>
              </w:rPr>
              <w:t>30,47±1,4</w:t>
            </w:r>
          </w:p>
        </w:tc>
        <w:tc>
          <w:tcPr>
            <w:tcW w:w="1215" w:type="dxa"/>
            <w:vAlign w:val="center"/>
          </w:tcPr>
          <w:p w:rsidR="004B0A70" w:rsidRPr="00124A9D" w:rsidRDefault="004B0A70" w:rsidP="002E185D">
            <w:pPr>
              <w:jc w:val="center"/>
              <w:rPr>
                <w:sz w:val="20"/>
                <w:szCs w:val="20"/>
              </w:rPr>
            </w:pPr>
            <w:r w:rsidRPr="00124A9D">
              <w:rPr>
                <w:sz w:val="20"/>
                <w:szCs w:val="20"/>
              </w:rPr>
              <w:t>28,79±1,4</w:t>
            </w:r>
          </w:p>
        </w:tc>
        <w:tc>
          <w:tcPr>
            <w:tcW w:w="1214" w:type="dxa"/>
            <w:vAlign w:val="center"/>
          </w:tcPr>
          <w:p w:rsidR="004B0A70" w:rsidRPr="00124A9D" w:rsidRDefault="004B0A70" w:rsidP="002E185D">
            <w:pPr>
              <w:jc w:val="center"/>
              <w:rPr>
                <w:sz w:val="20"/>
                <w:szCs w:val="20"/>
              </w:rPr>
            </w:pPr>
            <w:r w:rsidRPr="00124A9D">
              <w:rPr>
                <w:sz w:val="20"/>
                <w:szCs w:val="20"/>
              </w:rPr>
              <w:t>27,83±1,1</w:t>
            </w:r>
          </w:p>
        </w:tc>
        <w:tc>
          <w:tcPr>
            <w:tcW w:w="1215" w:type="dxa"/>
            <w:vAlign w:val="center"/>
          </w:tcPr>
          <w:p w:rsidR="004B0A70" w:rsidRPr="00124A9D" w:rsidRDefault="004B0A70" w:rsidP="002E185D">
            <w:pPr>
              <w:jc w:val="center"/>
              <w:rPr>
                <w:sz w:val="20"/>
                <w:szCs w:val="20"/>
              </w:rPr>
            </w:pPr>
            <w:r w:rsidRPr="00124A9D">
              <w:rPr>
                <w:sz w:val="20"/>
                <w:szCs w:val="20"/>
              </w:rPr>
              <w:t>32,65±2,9*</w:t>
            </w:r>
          </w:p>
        </w:tc>
      </w:tr>
      <w:tr w:rsidR="004B0A70" w:rsidRPr="001C576D" w:rsidTr="002E18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9" w:type="dxa"/>
            <w:vAlign w:val="center"/>
          </w:tcPr>
          <w:p w:rsidR="004B0A70" w:rsidRPr="00124A9D" w:rsidRDefault="004B0A70" w:rsidP="002E185D">
            <w:pPr>
              <w:jc w:val="center"/>
              <w:rPr>
                <w:sz w:val="20"/>
                <w:szCs w:val="20"/>
              </w:rPr>
            </w:pPr>
            <w:r w:rsidRPr="00124A9D">
              <w:rPr>
                <w:sz w:val="20"/>
                <w:szCs w:val="20"/>
              </w:rPr>
              <w:t>ФАЛ,%</w:t>
            </w:r>
          </w:p>
        </w:tc>
        <w:tc>
          <w:tcPr>
            <w:tcW w:w="1214" w:type="dxa"/>
            <w:vAlign w:val="center"/>
          </w:tcPr>
          <w:p w:rsidR="004B0A70" w:rsidRPr="00124A9D" w:rsidRDefault="004B0A70" w:rsidP="002E185D">
            <w:pPr>
              <w:tabs>
                <w:tab w:val="left" w:pos="1060"/>
              </w:tabs>
              <w:jc w:val="center"/>
              <w:rPr>
                <w:sz w:val="20"/>
                <w:szCs w:val="20"/>
              </w:rPr>
            </w:pPr>
            <w:r w:rsidRPr="00124A9D">
              <w:rPr>
                <w:sz w:val="20"/>
                <w:szCs w:val="20"/>
              </w:rPr>
              <w:t>31,3±1,4</w:t>
            </w:r>
          </w:p>
        </w:tc>
        <w:tc>
          <w:tcPr>
            <w:tcW w:w="1215" w:type="dxa"/>
            <w:vAlign w:val="center"/>
          </w:tcPr>
          <w:p w:rsidR="004B0A70" w:rsidRPr="00124A9D" w:rsidRDefault="004B0A70" w:rsidP="002E185D">
            <w:pPr>
              <w:tabs>
                <w:tab w:val="left" w:pos="10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32,2±1,8</w:t>
            </w:r>
          </w:p>
        </w:tc>
        <w:tc>
          <w:tcPr>
            <w:tcW w:w="1214" w:type="dxa"/>
            <w:vAlign w:val="center"/>
          </w:tcPr>
          <w:p w:rsidR="004B0A70" w:rsidRPr="00124A9D" w:rsidRDefault="004B0A70" w:rsidP="002E185D">
            <w:pPr>
              <w:tabs>
                <w:tab w:val="left" w:pos="1060"/>
              </w:tabs>
              <w:jc w:val="center"/>
              <w:rPr>
                <w:sz w:val="20"/>
                <w:szCs w:val="20"/>
              </w:rPr>
            </w:pPr>
            <w:r w:rsidRPr="00124A9D">
              <w:rPr>
                <w:sz w:val="20"/>
                <w:szCs w:val="20"/>
              </w:rPr>
              <w:t>32,4±1,90</w:t>
            </w:r>
          </w:p>
        </w:tc>
        <w:tc>
          <w:tcPr>
            <w:tcW w:w="1215" w:type="dxa"/>
            <w:vAlign w:val="center"/>
          </w:tcPr>
          <w:p w:rsidR="004B0A70" w:rsidRPr="00124A9D" w:rsidRDefault="004B0A70" w:rsidP="002E185D">
            <w:pPr>
              <w:tabs>
                <w:tab w:val="left" w:pos="1060"/>
              </w:tabs>
              <w:jc w:val="center"/>
              <w:rPr>
                <w:sz w:val="20"/>
                <w:szCs w:val="20"/>
              </w:rPr>
            </w:pPr>
            <w:r w:rsidRPr="00124A9D">
              <w:rPr>
                <w:sz w:val="20"/>
                <w:szCs w:val="20"/>
              </w:rPr>
              <w:t>36,2±2,1*</w:t>
            </w:r>
          </w:p>
        </w:tc>
      </w:tr>
      <w:tr w:rsidR="004B0A70" w:rsidRPr="001C576D" w:rsidTr="002E18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:rsidR="004B0A70" w:rsidRPr="00124A9D" w:rsidRDefault="004B0A70" w:rsidP="002E185D">
            <w:pPr>
              <w:jc w:val="center"/>
              <w:rPr>
                <w:sz w:val="20"/>
                <w:szCs w:val="20"/>
              </w:rPr>
            </w:pPr>
            <w:r w:rsidRPr="00124A9D">
              <w:rPr>
                <w:sz w:val="20"/>
                <w:szCs w:val="20"/>
              </w:rPr>
              <w:t>БАСК,%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4B0A70" w:rsidRPr="00124A9D" w:rsidRDefault="004B0A70" w:rsidP="002E185D">
            <w:pPr>
              <w:tabs>
                <w:tab w:val="left" w:pos="1060"/>
              </w:tabs>
              <w:jc w:val="center"/>
              <w:rPr>
                <w:sz w:val="20"/>
                <w:szCs w:val="20"/>
              </w:rPr>
            </w:pPr>
            <w:r w:rsidRPr="00124A9D">
              <w:rPr>
                <w:sz w:val="20"/>
                <w:szCs w:val="20"/>
              </w:rPr>
              <w:t>44,3±2,3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4B0A70" w:rsidRPr="00124A9D" w:rsidRDefault="004B0A70" w:rsidP="002E185D">
            <w:pPr>
              <w:tabs>
                <w:tab w:val="left" w:pos="1060"/>
              </w:tabs>
              <w:jc w:val="center"/>
              <w:rPr>
                <w:sz w:val="20"/>
                <w:szCs w:val="20"/>
              </w:rPr>
            </w:pPr>
            <w:r w:rsidRPr="00124A9D">
              <w:rPr>
                <w:sz w:val="20"/>
                <w:szCs w:val="20"/>
              </w:rPr>
              <w:t>46,7±2,8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4B0A70" w:rsidRPr="00124A9D" w:rsidRDefault="004B0A70" w:rsidP="002E185D">
            <w:pPr>
              <w:tabs>
                <w:tab w:val="left" w:pos="1060"/>
              </w:tabs>
              <w:jc w:val="center"/>
              <w:rPr>
                <w:sz w:val="20"/>
                <w:szCs w:val="20"/>
              </w:rPr>
            </w:pPr>
            <w:r w:rsidRPr="00124A9D">
              <w:rPr>
                <w:sz w:val="20"/>
                <w:szCs w:val="20"/>
              </w:rPr>
              <w:t>45,6±2,96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4B0A70" w:rsidRPr="00124A9D" w:rsidRDefault="004B0A70" w:rsidP="002E185D">
            <w:pPr>
              <w:tabs>
                <w:tab w:val="left" w:pos="1060"/>
              </w:tabs>
              <w:jc w:val="center"/>
              <w:rPr>
                <w:sz w:val="20"/>
                <w:szCs w:val="20"/>
              </w:rPr>
            </w:pPr>
            <w:r w:rsidRPr="00124A9D">
              <w:rPr>
                <w:sz w:val="20"/>
                <w:szCs w:val="20"/>
              </w:rPr>
              <w:t>49,4±3,0*</w:t>
            </w:r>
          </w:p>
        </w:tc>
      </w:tr>
      <w:tr w:rsidR="004B0A70" w:rsidRPr="001C576D" w:rsidTr="002E18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0A70" w:rsidRPr="00124A9D" w:rsidRDefault="004B0A70" w:rsidP="002E185D">
            <w:pPr>
              <w:rPr>
                <w:sz w:val="16"/>
                <w:szCs w:val="16"/>
              </w:rPr>
            </w:pPr>
            <w:r w:rsidRPr="00124A9D">
              <w:rPr>
                <w:sz w:val="16"/>
                <w:szCs w:val="16"/>
              </w:rPr>
              <w:t xml:space="preserve">* - </w:t>
            </w:r>
            <w:proofErr w:type="gramStart"/>
            <w:r w:rsidRPr="00124A9D">
              <w:rPr>
                <w:sz w:val="16"/>
                <w:szCs w:val="16"/>
              </w:rPr>
              <w:t>Р</w:t>
            </w:r>
            <w:proofErr w:type="gramEnd"/>
            <w:r w:rsidRPr="00124A9D">
              <w:rPr>
                <w:sz w:val="16"/>
                <w:szCs w:val="16"/>
              </w:rPr>
              <w:t>&lt;0,05 ** - Р&lt;0,01</w:t>
            </w:r>
          </w:p>
        </w:tc>
      </w:tr>
    </w:tbl>
    <w:p w:rsidR="004B0A70" w:rsidRPr="001C576D" w:rsidRDefault="004B0A70" w:rsidP="004B0A70">
      <w:pPr>
        <w:pStyle w:val="23"/>
        <w:spacing w:before="60" w:after="0" w:line="240" w:lineRule="auto"/>
        <w:ind w:firstLine="284"/>
        <w:jc w:val="both"/>
        <w:rPr>
          <w:sz w:val="20"/>
          <w:szCs w:val="20"/>
        </w:rPr>
      </w:pPr>
      <w:r w:rsidRPr="001C576D">
        <w:rPr>
          <w:sz w:val="20"/>
          <w:szCs w:val="20"/>
        </w:rPr>
        <w:t>К концу исследований отмечено увеличение общего белка в сыв</w:t>
      </w:r>
      <w:r w:rsidRPr="001C576D">
        <w:rPr>
          <w:sz w:val="20"/>
          <w:szCs w:val="20"/>
        </w:rPr>
        <w:t>о</w:t>
      </w:r>
      <w:r w:rsidRPr="001C576D">
        <w:rPr>
          <w:sz w:val="20"/>
          <w:szCs w:val="20"/>
        </w:rPr>
        <w:t>ротке крови животных опытной группы на 13</w:t>
      </w:r>
      <w:r>
        <w:rPr>
          <w:sz w:val="20"/>
          <w:szCs w:val="20"/>
        </w:rPr>
        <w:t>%</w:t>
      </w:r>
      <w:r w:rsidRPr="001C576D">
        <w:rPr>
          <w:sz w:val="20"/>
          <w:szCs w:val="20"/>
        </w:rPr>
        <w:t xml:space="preserve"> (</w:t>
      </w:r>
      <w:proofErr w:type="gramStart"/>
      <w:r w:rsidRPr="001C576D">
        <w:rPr>
          <w:sz w:val="20"/>
          <w:szCs w:val="20"/>
        </w:rPr>
        <w:t>Р</w:t>
      </w:r>
      <w:proofErr w:type="gramEnd"/>
      <w:r w:rsidRPr="001C576D">
        <w:rPr>
          <w:sz w:val="20"/>
          <w:szCs w:val="20"/>
        </w:rPr>
        <w:t xml:space="preserve">&lt;0,05) в сравнению с контролем. Вместе с увеличением общего белка произошло увеличение глобулинов </w:t>
      </w:r>
      <w:r>
        <w:rPr>
          <w:sz w:val="20"/>
          <w:szCs w:val="20"/>
        </w:rPr>
        <w:t xml:space="preserve">– </w:t>
      </w:r>
      <w:r w:rsidRPr="001C576D">
        <w:rPr>
          <w:sz w:val="20"/>
          <w:szCs w:val="20"/>
        </w:rPr>
        <w:t>17,3% (</w:t>
      </w:r>
      <w:proofErr w:type="gramStart"/>
      <w:r w:rsidRPr="001C576D">
        <w:rPr>
          <w:sz w:val="20"/>
          <w:szCs w:val="20"/>
        </w:rPr>
        <w:t>Р</w:t>
      </w:r>
      <w:proofErr w:type="gramEnd"/>
      <w:r w:rsidRPr="001C576D">
        <w:rPr>
          <w:sz w:val="20"/>
          <w:szCs w:val="20"/>
        </w:rPr>
        <w:t>&lt;0,05). Повысилась фагоцитарная активность ле</w:t>
      </w:r>
      <w:r w:rsidRPr="001C576D">
        <w:rPr>
          <w:sz w:val="20"/>
          <w:szCs w:val="20"/>
        </w:rPr>
        <w:t>й</w:t>
      </w:r>
      <w:r w:rsidRPr="001C576D">
        <w:rPr>
          <w:sz w:val="20"/>
          <w:szCs w:val="20"/>
        </w:rPr>
        <w:t>коцитов с 45,6% в контроле до 49,4</w:t>
      </w:r>
      <w:r>
        <w:rPr>
          <w:sz w:val="20"/>
          <w:szCs w:val="20"/>
        </w:rPr>
        <w:t>% (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&lt;0,05) </w:t>
      </w:r>
      <w:r w:rsidRPr="001C576D">
        <w:rPr>
          <w:sz w:val="20"/>
          <w:szCs w:val="20"/>
        </w:rPr>
        <w:t>в опытной группе. Анализом гуморальных факторов защиты установлено, что телята опытной группы имели более высокую бактерицидную активность с</w:t>
      </w:r>
      <w:r w:rsidRPr="001C576D">
        <w:rPr>
          <w:sz w:val="20"/>
          <w:szCs w:val="20"/>
        </w:rPr>
        <w:t>ы</w:t>
      </w:r>
      <w:r w:rsidRPr="001C576D">
        <w:rPr>
          <w:sz w:val="20"/>
          <w:szCs w:val="20"/>
        </w:rPr>
        <w:t>воротки крови. Так, данный показатель у животных, получавших стимулятор, был на ур</w:t>
      </w:r>
      <w:r>
        <w:rPr>
          <w:sz w:val="20"/>
          <w:szCs w:val="20"/>
        </w:rPr>
        <w:t>овне 49,4% (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&lt;0,05), в то время</w:t>
      </w:r>
      <w:r w:rsidRPr="001C576D">
        <w:rPr>
          <w:sz w:val="20"/>
          <w:szCs w:val="20"/>
        </w:rPr>
        <w:t xml:space="preserve"> как в контроле он о</w:t>
      </w:r>
      <w:r w:rsidRPr="001C576D">
        <w:rPr>
          <w:sz w:val="20"/>
          <w:szCs w:val="20"/>
        </w:rPr>
        <w:t>с</w:t>
      </w:r>
      <w:r>
        <w:rPr>
          <w:sz w:val="20"/>
          <w:szCs w:val="20"/>
        </w:rPr>
        <w:t xml:space="preserve">тался на уровне </w:t>
      </w:r>
      <w:r w:rsidRPr="001C576D">
        <w:rPr>
          <w:sz w:val="20"/>
          <w:szCs w:val="20"/>
        </w:rPr>
        <w:t>45,6%.</w:t>
      </w:r>
    </w:p>
    <w:p w:rsidR="004B0A70" w:rsidRPr="001C576D" w:rsidRDefault="004B0A70" w:rsidP="004B0A70">
      <w:pPr>
        <w:ind w:firstLine="284"/>
        <w:jc w:val="both"/>
        <w:rPr>
          <w:sz w:val="20"/>
          <w:szCs w:val="20"/>
        </w:rPr>
      </w:pPr>
      <w:r w:rsidRPr="001C576D">
        <w:rPr>
          <w:bCs/>
          <w:sz w:val="20"/>
          <w:szCs w:val="20"/>
        </w:rPr>
        <w:t>Для оценки общего воздействия биологического стимулятора на о</w:t>
      </w:r>
      <w:r w:rsidRPr="001C576D">
        <w:rPr>
          <w:bCs/>
          <w:sz w:val="20"/>
          <w:szCs w:val="20"/>
        </w:rPr>
        <w:t>р</w:t>
      </w:r>
      <w:r w:rsidRPr="001C576D">
        <w:rPr>
          <w:bCs/>
          <w:sz w:val="20"/>
          <w:szCs w:val="20"/>
        </w:rPr>
        <w:t>ганизм телят была исследована динамика живой массы подопы</w:t>
      </w:r>
      <w:r w:rsidRPr="001C576D">
        <w:rPr>
          <w:bCs/>
          <w:sz w:val="20"/>
          <w:szCs w:val="20"/>
        </w:rPr>
        <w:t>т</w:t>
      </w:r>
      <w:r w:rsidRPr="001C576D">
        <w:rPr>
          <w:bCs/>
          <w:sz w:val="20"/>
          <w:szCs w:val="20"/>
        </w:rPr>
        <w:t>ных животных. Этот показатель говорит о скорости синтеза основных структурных компонентов организма. Проведенные исследования п</w:t>
      </w:r>
      <w:r w:rsidRPr="001C576D">
        <w:rPr>
          <w:bCs/>
          <w:sz w:val="20"/>
          <w:szCs w:val="20"/>
        </w:rPr>
        <w:t>о</w:t>
      </w:r>
      <w:r w:rsidRPr="001C576D">
        <w:rPr>
          <w:bCs/>
          <w:sz w:val="20"/>
          <w:szCs w:val="20"/>
        </w:rPr>
        <w:t>казали, что использование отвара горца змеиного усиливает скорость роста телят.</w:t>
      </w:r>
      <w:r w:rsidRPr="001C576D">
        <w:rPr>
          <w:sz w:val="20"/>
          <w:szCs w:val="20"/>
        </w:rPr>
        <w:t xml:space="preserve"> Так, при рождении средняя живая масса телят всех по</w:t>
      </w:r>
      <w:r w:rsidRPr="001C576D">
        <w:rPr>
          <w:sz w:val="20"/>
          <w:szCs w:val="20"/>
        </w:rPr>
        <w:t>д</w:t>
      </w:r>
      <w:r w:rsidRPr="001C576D">
        <w:rPr>
          <w:sz w:val="20"/>
          <w:szCs w:val="20"/>
        </w:rPr>
        <w:t>опытных групп была практически одинаковой и составляла в среднем 29,0</w:t>
      </w:r>
      <w:r>
        <w:rPr>
          <w:sz w:val="20"/>
          <w:szCs w:val="20"/>
        </w:rPr>
        <w:t>-</w:t>
      </w:r>
      <w:smartTag w:uri="urn:schemas-microsoft-com:office:smarttags" w:element="metricconverter">
        <w:smartTagPr>
          <w:attr w:name="ProductID" w:val="29,5 кг"/>
        </w:smartTagPr>
        <w:r w:rsidRPr="001C576D">
          <w:rPr>
            <w:sz w:val="20"/>
            <w:szCs w:val="20"/>
          </w:rPr>
          <w:t>29,5 кг</w:t>
        </w:r>
      </w:smartTag>
      <w:r w:rsidRPr="001C576D">
        <w:rPr>
          <w:sz w:val="20"/>
          <w:szCs w:val="20"/>
        </w:rPr>
        <w:t xml:space="preserve">. Однако к концу опыта животные опытной группы </w:t>
      </w:r>
      <w:r w:rsidRPr="001C576D">
        <w:rPr>
          <w:sz w:val="20"/>
          <w:szCs w:val="20"/>
        </w:rPr>
        <w:lastRenderedPageBreak/>
        <w:t>в сре</w:t>
      </w:r>
      <w:r w:rsidRPr="001C576D">
        <w:rPr>
          <w:sz w:val="20"/>
          <w:szCs w:val="20"/>
        </w:rPr>
        <w:t>д</w:t>
      </w:r>
      <w:r w:rsidRPr="001C576D">
        <w:rPr>
          <w:sz w:val="20"/>
          <w:szCs w:val="20"/>
        </w:rPr>
        <w:t xml:space="preserve">нем весили на </w:t>
      </w:r>
      <w:smartTag w:uri="urn:schemas-microsoft-com:office:smarttags" w:element="metricconverter">
        <w:smartTagPr>
          <w:attr w:name="ProductID" w:val="1,2 кг"/>
        </w:smartTagPr>
        <w:r w:rsidRPr="001C576D">
          <w:rPr>
            <w:sz w:val="20"/>
            <w:szCs w:val="20"/>
          </w:rPr>
          <w:t>1,2 кг</w:t>
        </w:r>
      </w:smartTag>
      <w:r w:rsidRPr="001C576D">
        <w:rPr>
          <w:sz w:val="20"/>
          <w:szCs w:val="20"/>
        </w:rPr>
        <w:t xml:space="preserve">, чем их аналоги из </w:t>
      </w:r>
      <w:proofErr w:type="gramStart"/>
      <w:r w:rsidRPr="001C576D">
        <w:rPr>
          <w:sz w:val="20"/>
          <w:szCs w:val="20"/>
        </w:rPr>
        <w:t>контрольной</w:t>
      </w:r>
      <w:proofErr w:type="gramEnd"/>
      <w:r w:rsidRPr="001C576D">
        <w:rPr>
          <w:sz w:val="20"/>
          <w:szCs w:val="20"/>
        </w:rPr>
        <w:t>. Аналогичным образом изменялись значения среднесуточных приростов живой массы телят. У контрольных животных этот показатель за период наблюд</w:t>
      </w:r>
      <w:r w:rsidRPr="001C576D">
        <w:rPr>
          <w:sz w:val="20"/>
          <w:szCs w:val="20"/>
        </w:rPr>
        <w:t>е</w:t>
      </w:r>
      <w:r w:rsidRPr="001C576D">
        <w:rPr>
          <w:sz w:val="20"/>
          <w:szCs w:val="20"/>
        </w:rPr>
        <w:t xml:space="preserve">ний в среднем составил </w:t>
      </w:r>
      <w:smartTag w:uri="urn:schemas-microsoft-com:office:smarttags" w:element="metricconverter">
        <w:smartTagPr>
          <w:attr w:name="ProductID" w:val="610 г"/>
        </w:smartTagPr>
        <w:r w:rsidRPr="001C576D">
          <w:rPr>
            <w:sz w:val="20"/>
            <w:szCs w:val="20"/>
          </w:rPr>
          <w:t>610 г</w:t>
        </w:r>
      </w:smartTag>
      <w:r w:rsidRPr="001C576D">
        <w:rPr>
          <w:sz w:val="20"/>
          <w:szCs w:val="20"/>
        </w:rPr>
        <w:t xml:space="preserve">, а у телят опытной группы он был выше на </w:t>
      </w:r>
      <w:smartTag w:uri="urn:schemas-microsoft-com:office:smarttags" w:element="metricconverter">
        <w:smartTagPr>
          <w:attr w:name="ProductID" w:val="50 г"/>
        </w:smartTagPr>
        <w:r w:rsidRPr="001C576D">
          <w:rPr>
            <w:sz w:val="20"/>
            <w:szCs w:val="20"/>
          </w:rPr>
          <w:t>50 г</w:t>
        </w:r>
      </w:smartTag>
      <w:r w:rsidRPr="001C576D">
        <w:rPr>
          <w:sz w:val="20"/>
          <w:szCs w:val="20"/>
        </w:rPr>
        <w:t>, или на 8,2%. Следовательно, можно предположить, что обр</w:t>
      </w:r>
      <w:r w:rsidRPr="001C576D">
        <w:rPr>
          <w:sz w:val="20"/>
          <w:szCs w:val="20"/>
        </w:rPr>
        <w:t>а</w:t>
      </w:r>
      <w:r w:rsidRPr="001C576D">
        <w:rPr>
          <w:sz w:val="20"/>
          <w:szCs w:val="20"/>
        </w:rPr>
        <w:t>ботка телят испытуемым препаратом способствовала лучшему использованию питательных веществ рациона телят, лучшей их переварим</w:t>
      </w:r>
      <w:r w:rsidRPr="001C576D">
        <w:rPr>
          <w:sz w:val="20"/>
          <w:szCs w:val="20"/>
        </w:rPr>
        <w:t>о</w:t>
      </w:r>
      <w:r w:rsidRPr="001C576D">
        <w:rPr>
          <w:sz w:val="20"/>
          <w:szCs w:val="20"/>
        </w:rPr>
        <w:t>сти и усвояемости.</w:t>
      </w:r>
    </w:p>
    <w:p w:rsidR="004B0A70" w:rsidRPr="001C576D" w:rsidRDefault="004B0A70" w:rsidP="004B0A70">
      <w:pPr>
        <w:pStyle w:val="23"/>
        <w:spacing w:after="0" w:line="240" w:lineRule="auto"/>
        <w:ind w:firstLine="284"/>
        <w:jc w:val="both"/>
        <w:rPr>
          <w:sz w:val="20"/>
          <w:szCs w:val="20"/>
        </w:rPr>
      </w:pPr>
      <w:r w:rsidRPr="001C576D">
        <w:rPr>
          <w:sz w:val="20"/>
          <w:szCs w:val="20"/>
        </w:rPr>
        <w:t>Таким образом, анализируя полученные результаты гематологических исследований можно сделать заключение о том, что выпаивание телятам отва</w:t>
      </w:r>
      <w:r>
        <w:rPr>
          <w:sz w:val="20"/>
          <w:szCs w:val="20"/>
        </w:rPr>
        <w:t>ра горца змеиного способствовало</w:t>
      </w:r>
      <w:r w:rsidRPr="001C576D">
        <w:rPr>
          <w:sz w:val="20"/>
          <w:szCs w:val="20"/>
        </w:rPr>
        <w:t xml:space="preserve"> ус</w:t>
      </w:r>
      <w:r w:rsidRPr="001C576D">
        <w:rPr>
          <w:sz w:val="20"/>
          <w:szCs w:val="20"/>
        </w:rPr>
        <w:t>и</w:t>
      </w:r>
      <w:r w:rsidRPr="001C576D">
        <w:rPr>
          <w:sz w:val="20"/>
          <w:szCs w:val="20"/>
        </w:rPr>
        <w:t>лению обменных процессов и повышению естественной резистентности организма ж</w:t>
      </w:r>
      <w:r w:rsidRPr="001C576D">
        <w:rPr>
          <w:sz w:val="20"/>
          <w:szCs w:val="20"/>
        </w:rPr>
        <w:t>и</w:t>
      </w:r>
      <w:r w:rsidRPr="001C576D">
        <w:rPr>
          <w:sz w:val="20"/>
          <w:szCs w:val="20"/>
        </w:rPr>
        <w:t>вотных и, как следствие, положительно сказалось на их продуктивн</w:t>
      </w:r>
      <w:r w:rsidRPr="001C576D">
        <w:rPr>
          <w:sz w:val="20"/>
          <w:szCs w:val="20"/>
        </w:rPr>
        <w:t>о</w:t>
      </w:r>
      <w:r w:rsidRPr="001C576D">
        <w:rPr>
          <w:sz w:val="20"/>
          <w:szCs w:val="20"/>
        </w:rPr>
        <w:t>сти.</w:t>
      </w:r>
    </w:p>
    <w:p w:rsidR="004B0A70" w:rsidRPr="001C576D" w:rsidRDefault="004B0A70" w:rsidP="004B0A70">
      <w:pPr>
        <w:ind w:firstLine="284"/>
        <w:jc w:val="both"/>
        <w:rPr>
          <w:sz w:val="20"/>
          <w:szCs w:val="20"/>
        </w:rPr>
      </w:pPr>
      <w:r w:rsidRPr="001C576D">
        <w:rPr>
          <w:sz w:val="20"/>
          <w:szCs w:val="20"/>
        </w:rPr>
        <w:t>Так, при рождении средняя живая масса телят всех подопытных групп была практически одинак</w:t>
      </w:r>
      <w:r w:rsidRPr="001C576D">
        <w:rPr>
          <w:sz w:val="20"/>
          <w:szCs w:val="20"/>
        </w:rPr>
        <w:t>о</w:t>
      </w:r>
      <w:r w:rsidRPr="001C576D">
        <w:rPr>
          <w:sz w:val="20"/>
          <w:szCs w:val="20"/>
        </w:rPr>
        <w:t xml:space="preserve">вой и составляла в среднем 29,0 – </w:t>
      </w:r>
      <w:smartTag w:uri="urn:schemas-microsoft-com:office:smarttags" w:element="metricconverter">
        <w:smartTagPr>
          <w:attr w:name="ProductID" w:val="29,5 кг"/>
        </w:smartTagPr>
        <w:r w:rsidRPr="001C576D">
          <w:rPr>
            <w:sz w:val="20"/>
            <w:szCs w:val="20"/>
          </w:rPr>
          <w:t>29,5 кг</w:t>
        </w:r>
      </w:smartTag>
      <w:r w:rsidRPr="001C576D">
        <w:rPr>
          <w:sz w:val="20"/>
          <w:szCs w:val="20"/>
        </w:rPr>
        <w:t>. Однако к концу опыта животные опытной группы в среднем вес</w:t>
      </w:r>
      <w:r w:rsidRPr="001C576D">
        <w:rPr>
          <w:sz w:val="20"/>
          <w:szCs w:val="20"/>
        </w:rPr>
        <w:t>и</w:t>
      </w:r>
      <w:r w:rsidRPr="001C576D">
        <w:rPr>
          <w:sz w:val="20"/>
          <w:szCs w:val="20"/>
        </w:rPr>
        <w:t>ли на 1,2 кг</w:t>
      </w:r>
      <w:r>
        <w:rPr>
          <w:sz w:val="20"/>
          <w:szCs w:val="20"/>
        </w:rPr>
        <w:t xml:space="preserve"> больше</w:t>
      </w:r>
      <w:r w:rsidRPr="001C576D">
        <w:rPr>
          <w:sz w:val="20"/>
          <w:szCs w:val="20"/>
        </w:rPr>
        <w:t xml:space="preserve">, чем их аналоги </w:t>
      </w:r>
      <w:proofErr w:type="gramStart"/>
      <w:r w:rsidRPr="001C576D">
        <w:rPr>
          <w:sz w:val="20"/>
          <w:szCs w:val="20"/>
        </w:rPr>
        <w:t>из</w:t>
      </w:r>
      <w:proofErr w:type="gramEnd"/>
      <w:r w:rsidRPr="001C576D">
        <w:rPr>
          <w:sz w:val="20"/>
          <w:szCs w:val="20"/>
        </w:rPr>
        <w:t xml:space="preserve"> контрольной. Таким же образом изменялись значения среднесуточных приростов живой массы. У контрольных животных этот показатель в среднем составил </w:t>
      </w:r>
      <w:smartTag w:uri="urn:schemas-microsoft-com:office:smarttags" w:element="metricconverter">
        <w:smartTagPr>
          <w:attr w:name="ProductID" w:val="610 г"/>
        </w:smartTagPr>
        <w:r w:rsidRPr="001C576D">
          <w:rPr>
            <w:sz w:val="20"/>
            <w:szCs w:val="20"/>
          </w:rPr>
          <w:t>610 г</w:t>
        </w:r>
      </w:smartTag>
      <w:r w:rsidRPr="001C576D">
        <w:rPr>
          <w:sz w:val="20"/>
          <w:szCs w:val="20"/>
        </w:rPr>
        <w:t>, а у т</w:t>
      </w:r>
      <w:r w:rsidRPr="001C576D">
        <w:rPr>
          <w:sz w:val="20"/>
          <w:szCs w:val="20"/>
        </w:rPr>
        <w:t>е</w:t>
      </w:r>
      <w:r w:rsidRPr="001C576D">
        <w:rPr>
          <w:sz w:val="20"/>
          <w:szCs w:val="20"/>
        </w:rPr>
        <w:t xml:space="preserve">лят опытной группы он был выше на </w:t>
      </w:r>
      <w:smartTag w:uri="urn:schemas-microsoft-com:office:smarttags" w:element="metricconverter">
        <w:smartTagPr>
          <w:attr w:name="ProductID" w:val="50 г"/>
        </w:smartTagPr>
        <w:r w:rsidRPr="001C576D">
          <w:rPr>
            <w:sz w:val="20"/>
            <w:szCs w:val="20"/>
          </w:rPr>
          <w:t>50 г</w:t>
        </w:r>
      </w:smartTag>
      <w:r w:rsidRPr="001C576D">
        <w:rPr>
          <w:sz w:val="20"/>
          <w:szCs w:val="20"/>
        </w:rPr>
        <w:t>, или на 8,2%. Следовательно, можно предположить, что обработка телят испытуемым препаратом способствовала лучшему использованию питательных веществ раци</w:t>
      </w:r>
      <w:r w:rsidRPr="001C576D">
        <w:rPr>
          <w:sz w:val="20"/>
          <w:szCs w:val="20"/>
        </w:rPr>
        <w:t>о</w:t>
      </w:r>
      <w:r w:rsidRPr="001C576D">
        <w:rPr>
          <w:sz w:val="20"/>
          <w:szCs w:val="20"/>
        </w:rPr>
        <w:t>на телят, лучшей их переваримости и усвояемости.</w:t>
      </w:r>
    </w:p>
    <w:p w:rsidR="004B0A70" w:rsidRPr="001C576D" w:rsidRDefault="004B0A70" w:rsidP="004B0A70">
      <w:pPr>
        <w:ind w:firstLine="284"/>
        <w:jc w:val="both"/>
        <w:rPr>
          <w:sz w:val="20"/>
          <w:szCs w:val="20"/>
        </w:rPr>
      </w:pPr>
      <w:r w:rsidRPr="001C576D">
        <w:rPr>
          <w:sz w:val="20"/>
          <w:szCs w:val="20"/>
        </w:rPr>
        <w:t>В своих исследованиях мы также ставили задачу установить вли</w:t>
      </w:r>
      <w:r w:rsidRPr="001C576D">
        <w:rPr>
          <w:sz w:val="20"/>
          <w:szCs w:val="20"/>
        </w:rPr>
        <w:t>я</w:t>
      </w:r>
      <w:r w:rsidRPr="001C576D">
        <w:rPr>
          <w:sz w:val="20"/>
          <w:szCs w:val="20"/>
        </w:rPr>
        <w:t>ние изучаемого препарата растительного происхождения на заболева</w:t>
      </w:r>
      <w:r w:rsidRPr="001C576D">
        <w:rPr>
          <w:sz w:val="20"/>
          <w:szCs w:val="20"/>
        </w:rPr>
        <w:t>е</w:t>
      </w:r>
      <w:r w:rsidRPr="001C576D">
        <w:rPr>
          <w:sz w:val="20"/>
          <w:szCs w:val="20"/>
        </w:rPr>
        <w:t>мость и повышение сохранности молодняка. Было установлено, что использование отвара горца змеиного однозначно дает полож</w:t>
      </w:r>
      <w:r w:rsidRPr="001C576D">
        <w:rPr>
          <w:sz w:val="20"/>
          <w:szCs w:val="20"/>
        </w:rPr>
        <w:t>и</w:t>
      </w:r>
      <w:r w:rsidRPr="001C576D">
        <w:rPr>
          <w:sz w:val="20"/>
          <w:szCs w:val="20"/>
        </w:rPr>
        <w:t>тельный ответ на этот вопрос.</w:t>
      </w:r>
    </w:p>
    <w:p w:rsidR="004B0A70" w:rsidRPr="001C576D" w:rsidRDefault="004B0A70" w:rsidP="004B0A70">
      <w:pPr>
        <w:ind w:firstLine="284"/>
        <w:jc w:val="both"/>
        <w:rPr>
          <w:sz w:val="20"/>
          <w:szCs w:val="20"/>
        </w:rPr>
      </w:pPr>
      <w:r w:rsidRPr="001C576D">
        <w:rPr>
          <w:sz w:val="20"/>
          <w:szCs w:val="20"/>
        </w:rPr>
        <w:t>За период проведения опыта было установлено, что количество т</w:t>
      </w:r>
      <w:r w:rsidRPr="001C576D">
        <w:rPr>
          <w:sz w:val="20"/>
          <w:szCs w:val="20"/>
        </w:rPr>
        <w:t>е</w:t>
      </w:r>
      <w:r w:rsidRPr="001C576D">
        <w:rPr>
          <w:sz w:val="20"/>
          <w:szCs w:val="20"/>
        </w:rPr>
        <w:t>лят с расстройствами пищеварения в опытной группе было значител</w:t>
      </w:r>
      <w:r w:rsidRPr="001C576D">
        <w:rPr>
          <w:sz w:val="20"/>
          <w:szCs w:val="20"/>
        </w:rPr>
        <w:t>ь</w:t>
      </w:r>
      <w:r w:rsidRPr="001C576D">
        <w:rPr>
          <w:sz w:val="20"/>
          <w:szCs w:val="20"/>
        </w:rPr>
        <w:t>но ниже, чем в контроле. Так, в опытной группе диспепсией заболело только две головы, или 16,7%, а в контрольной – 8 голов (66,7%). Сл</w:t>
      </w:r>
      <w:r w:rsidRPr="001C576D">
        <w:rPr>
          <w:sz w:val="20"/>
          <w:szCs w:val="20"/>
        </w:rPr>
        <w:t>е</w:t>
      </w:r>
      <w:r w:rsidRPr="001C576D">
        <w:rPr>
          <w:sz w:val="20"/>
          <w:szCs w:val="20"/>
        </w:rPr>
        <w:t xml:space="preserve">дует отметить, что у опытных животных болезнь протекала в более легкой </w:t>
      </w:r>
      <w:proofErr w:type="gramStart"/>
      <w:r w:rsidRPr="001C576D">
        <w:rPr>
          <w:sz w:val="20"/>
          <w:szCs w:val="20"/>
        </w:rPr>
        <w:t>форме</w:t>
      </w:r>
      <w:proofErr w:type="gramEnd"/>
      <w:r w:rsidRPr="001C576D">
        <w:rPr>
          <w:sz w:val="20"/>
          <w:szCs w:val="20"/>
        </w:rPr>
        <w:t xml:space="preserve"> и они значительно быстрее выздоравливали. Об этом свидетельствует тот факт, что средняя продолжительность болезни в опы</w:t>
      </w:r>
      <w:r w:rsidRPr="001C576D">
        <w:rPr>
          <w:sz w:val="20"/>
          <w:szCs w:val="20"/>
        </w:rPr>
        <w:t>т</w:t>
      </w:r>
      <w:r w:rsidRPr="001C576D">
        <w:rPr>
          <w:sz w:val="20"/>
          <w:szCs w:val="20"/>
        </w:rPr>
        <w:t xml:space="preserve">ной группе уменьшилась на 5-6 дней. Сохранность молодняка подопытных групп также существенно различалась. Если у телят опытной группы случаев падежа не было зарегистрировано, то среди контрольных животных два теленка </w:t>
      </w:r>
      <w:proofErr w:type="gramStart"/>
      <w:r w:rsidRPr="001C576D">
        <w:rPr>
          <w:sz w:val="20"/>
          <w:szCs w:val="20"/>
        </w:rPr>
        <w:t>пало</w:t>
      </w:r>
      <w:proofErr w:type="gramEnd"/>
      <w:r w:rsidRPr="001C576D">
        <w:rPr>
          <w:sz w:val="20"/>
          <w:szCs w:val="20"/>
        </w:rPr>
        <w:t xml:space="preserve"> и сохранность при этом с</w:t>
      </w:r>
      <w:r w:rsidRPr="001C576D">
        <w:rPr>
          <w:sz w:val="20"/>
          <w:szCs w:val="20"/>
        </w:rPr>
        <w:t>о</w:t>
      </w:r>
      <w:r w:rsidRPr="001C576D">
        <w:rPr>
          <w:sz w:val="20"/>
          <w:szCs w:val="20"/>
        </w:rPr>
        <w:t>ставила 83,3%.</w:t>
      </w:r>
    </w:p>
    <w:p w:rsidR="004B0A70" w:rsidRPr="001C576D" w:rsidRDefault="004B0A70" w:rsidP="004B0A70">
      <w:pPr>
        <w:ind w:firstLine="284"/>
        <w:jc w:val="both"/>
        <w:rPr>
          <w:sz w:val="20"/>
          <w:szCs w:val="20"/>
        </w:rPr>
      </w:pPr>
      <w:r w:rsidRPr="001C576D">
        <w:rPr>
          <w:b/>
          <w:sz w:val="20"/>
          <w:szCs w:val="20"/>
        </w:rPr>
        <w:t>Заключение.</w:t>
      </w:r>
      <w:r w:rsidRPr="001C576D">
        <w:rPr>
          <w:sz w:val="20"/>
          <w:szCs w:val="20"/>
        </w:rPr>
        <w:t xml:space="preserve"> Таким образом, проведенные исследования показ</w:t>
      </w:r>
      <w:r w:rsidRPr="001C576D">
        <w:rPr>
          <w:sz w:val="20"/>
          <w:szCs w:val="20"/>
        </w:rPr>
        <w:t>а</w:t>
      </w:r>
      <w:r w:rsidRPr="001C576D">
        <w:rPr>
          <w:sz w:val="20"/>
          <w:szCs w:val="20"/>
        </w:rPr>
        <w:t>ли,</w:t>
      </w:r>
      <w:r>
        <w:rPr>
          <w:sz w:val="20"/>
          <w:szCs w:val="20"/>
        </w:rPr>
        <w:t xml:space="preserve"> что</w:t>
      </w:r>
      <w:r w:rsidRPr="001C576D">
        <w:rPr>
          <w:sz w:val="20"/>
          <w:szCs w:val="20"/>
        </w:rPr>
        <w:t xml:space="preserve"> применение настоя горца змеиного из расчета 15 мл на </w:t>
      </w:r>
      <w:smartTag w:uri="urn:schemas-microsoft-com:office:smarttags" w:element="metricconverter">
        <w:smartTagPr>
          <w:attr w:name="ProductID" w:val="1 кг"/>
        </w:smartTagPr>
        <w:r w:rsidRPr="001C576D">
          <w:rPr>
            <w:sz w:val="20"/>
            <w:szCs w:val="20"/>
          </w:rPr>
          <w:t>1 кг</w:t>
        </w:r>
      </w:smartTag>
      <w:r w:rsidRPr="001C576D">
        <w:rPr>
          <w:sz w:val="20"/>
          <w:szCs w:val="20"/>
        </w:rPr>
        <w:t xml:space="preserve"> живой массы животного в течение пяти смежных дней способствует сниж</w:t>
      </w:r>
      <w:r w:rsidRPr="001C576D">
        <w:rPr>
          <w:sz w:val="20"/>
          <w:szCs w:val="20"/>
        </w:rPr>
        <w:t>е</w:t>
      </w:r>
      <w:r w:rsidRPr="001C576D">
        <w:rPr>
          <w:sz w:val="20"/>
          <w:szCs w:val="20"/>
        </w:rPr>
        <w:t>нию желудочно-кишечных заболеваний телят профилакторного пери</w:t>
      </w:r>
      <w:r w:rsidRPr="001C576D">
        <w:rPr>
          <w:sz w:val="20"/>
          <w:szCs w:val="20"/>
        </w:rPr>
        <w:t>о</w:t>
      </w:r>
      <w:r w:rsidRPr="001C576D">
        <w:rPr>
          <w:sz w:val="20"/>
          <w:szCs w:val="20"/>
        </w:rPr>
        <w:t>да, коррекции иммунной недостаточности, а также более интенсивному их росту и ра</w:t>
      </w:r>
      <w:r w:rsidRPr="001C576D">
        <w:rPr>
          <w:sz w:val="20"/>
          <w:szCs w:val="20"/>
        </w:rPr>
        <w:t>з</w:t>
      </w:r>
      <w:r w:rsidRPr="001C576D">
        <w:rPr>
          <w:sz w:val="20"/>
          <w:szCs w:val="20"/>
        </w:rPr>
        <w:t>витию.</w:t>
      </w:r>
    </w:p>
    <w:p w:rsidR="004B0A70" w:rsidRPr="00124A9D" w:rsidRDefault="004B0A70" w:rsidP="004B0A70">
      <w:pPr>
        <w:jc w:val="center"/>
        <w:rPr>
          <w:sz w:val="16"/>
          <w:szCs w:val="16"/>
        </w:rPr>
      </w:pPr>
      <w:r>
        <w:rPr>
          <w:sz w:val="16"/>
          <w:szCs w:val="16"/>
        </w:rPr>
        <w:t>ЛИТЕРАТУРА</w:t>
      </w:r>
    </w:p>
    <w:p w:rsidR="004B0A70" w:rsidRDefault="004B0A70" w:rsidP="004B0A70">
      <w:pPr>
        <w:ind w:firstLine="180"/>
        <w:jc w:val="both"/>
        <w:rPr>
          <w:sz w:val="16"/>
          <w:szCs w:val="16"/>
        </w:rPr>
      </w:pPr>
      <w:r w:rsidRPr="00EB6A08">
        <w:rPr>
          <w:sz w:val="16"/>
          <w:szCs w:val="16"/>
        </w:rPr>
        <w:t xml:space="preserve">1. </w:t>
      </w:r>
      <w:r>
        <w:rPr>
          <w:sz w:val="16"/>
          <w:szCs w:val="16"/>
        </w:rPr>
        <w:t>Дьяченко А.И. и др. Справочник лекарственных ветеринарных препаратов.- М.</w:t>
      </w:r>
      <w:proofErr w:type="gramStart"/>
      <w:r>
        <w:rPr>
          <w:sz w:val="16"/>
          <w:szCs w:val="16"/>
        </w:rPr>
        <w:t xml:space="preserve"> :</w:t>
      </w:r>
      <w:proofErr w:type="gramEnd"/>
      <w:r>
        <w:rPr>
          <w:sz w:val="16"/>
          <w:szCs w:val="16"/>
        </w:rPr>
        <w:t xml:space="preserve"> Колос, - 1993. – 192с.</w:t>
      </w:r>
    </w:p>
    <w:p w:rsidR="004B0A70" w:rsidRDefault="004B0A70" w:rsidP="004B0A70">
      <w:pPr>
        <w:ind w:firstLine="18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 </w:t>
      </w:r>
      <w:r w:rsidRPr="00EB6A08">
        <w:rPr>
          <w:sz w:val="16"/>
          <w:szCs w:val="16"/>
        </w:rPr>
        <w:t>Жариков И.С., Антоненко А.Е. Лекарственные средства и биологические препар</w:t>
      </w:r>
      <w:r w:rsidRPr="00EB6A08">
        <w:rPr>
          <w:sz w:val="16"/>
          <w:szCs w:val="16"/>
        </w:rPr>
        <w:t>а</w:t>
      </w:r>
      <w:r w:rsidRPr="00EB6A08">
        <w:rPr>
          <w:sz w:val="16"/>
          <w:szCs w:val="16"/>
        </w:rPr>
        <w:t xml:space="preserve">ты в ветеринарии. – Мн.: Ураджай, – 1999.– 230с. </w:t>
      </w:r>
    </w:p>
    <w:p w:rsidR="004B0A70" w:rsidRPr="00EB6A08" w:rsidRDefault="004B0A70" w:rsidP="004B0A70">
      <w:pPr>
        <w:ind w:firstLine="180"/>
        <w:jc w:val="both"/>
        <w:rPr>
          <w:sz w:val="16"/>
          <w:szCs w:val="16"/>
        </w:rPr>
      </w:pPr>
      <w:r>
        <w:rPr>
          <w:sz w:val="16"/>
          <w:szCs w:val="16"/>
        </w:rPr>
        <w:t>3. Карпуть И.М. Возрастные и приобретенные дефициты // Ветеринарная медицина Беларуси, 2001. - № 2. – С. 28-31.</w:t>
      </w:r>
    </w:p>
    <w:p w:rsidR="004B0A70" w:rsidRDefault="004B0A70" w:rsidP="004B0A70">
      <w:pPr>
        <w:ind w:firstLine="18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EB6A08">
        <w:rPr>
          <w:sz w:val="16"/>
          <w:szCs w:val="16"/>
        </w:rPr>
        <w:t xml:space="preserve">Липницкий С.С., Пилуй А.Ф., Лаппо Л.В. Зеленая аптека в ветеринарии – Мн.: Ураджай., 1987 – 288 </w:t>
      </w:r>
      <w:proofErr w:type="gramStart"/>
      <w:r w:rsidRPr="00EB6A08">
        <w:rPr>
          <w:sz w:val="16"/>
          <w:szCs w:val="16"/>
        </w:rPr>
        <w:t>с</w:t>
      </w:r>
      <w:proofErr w:type="gramEnd"/>
      <w:r w:rsidRPr="00EB6A08">
        <w:rPr>
          <w:sz w:val="16"/>
          <w:szCs w:val="16"/>
        </w:rPr>
        <w:t>.</w:t>
      </w:r>
    </w:p>
    <w:p w:rsidR="004B0A70" w:rsidRDefault="004B0A70" w:rsidP="004B0A70">
      <w:pPr>
        <w:ind w:firstLine="180"/>
        <w:jc w:val="both"/>
        <w:rPr>
          <w:sz w:val="16"/>
          <w:szCs w:val="16"/>
        </w:rPr>
      </w:pPr>
      <w:r>
        <w:rPr>
          <w:sz w:val="16"/>
          <w:szCs w:val="16"/>
        </w:rPr>
        <w:t>5. Рабинович М.И., Бурова А.Ф. Лекарственные растения при диарее у т</w:t>
      </w:r>
      <w:r>
        <w:rPr>
          <w:sz w:val="16"/>
          <w:szCs w:val="16"/>
        </w:rPr>
        <w:t>е</w:t>
      </w:r>
      <w:r>
        <w:rPr>
          <w:sz w:val="16"/>
          <w:szCs w:val="16"/>
        </w:rPr>
        <w:t>лят//Ветеринария. – 1993. - № 5. - С. 53-54.</w:t>
      </w:r>
    </w:p>
    <w:p w:rsidR="0068764B" w:rsidRPr="004B0A70" w:rsidRDefault="0068764B" w:rsidP="00047EC7"/>
    <w:sectPr w:rsidR="0068764B" w:rsidRPr="004B0A70" w:rsidSect="004B0A7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95ED4"/>
    <w:multiLevelType w:val="hybridMultilevel"/>
    <w:tmpl w:val="5B927136"/>
    <w:lvl w:ilvl="0" w:tplc="AF6438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0A7F6C"/>
    <w:multiLevelType w:val="hybridMultilevel"/>
    <w:tmpl w:val="2012927E"/>
    <w:lvl w:ilvl="0" w:tplc="8BF2396A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F7A71E5"/>
    <w:multiLevelType w:val="hybridMultilevel"/>
    <w:tmpl w:val="14C2A6EA"/>
    <w:lvl w:ilvl="0" w:tplc="B43CF316">
      <w:start w:val="2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72C13180"/>
    <w:multiLevelType w:val="hybridMultilevel"/>
    <w:tmpl w:val="7B0AC21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A9E446F"/>
    <w:multiLevelType w:val="hybridMultilevel"/>
    <w:tmpl w:val="B3F4310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grammar="clean"/>
  <w:defaultTabStop w:val="708"/>
  <w:characterSpacingControl w:val="doNotCompress"/>
  <w:compat/>
  <w:rsids>
    <w:rsidRoot w:val="00AD11C2"/>
    <w:rsid w:val="00001457"/>
    <w:rsid w:val="0000352E"/>
    <w:rsid w:val="0000456B"/>
    <w:rsid w:val="0000509B"/>
    <w:rsid w:val="00006F13"/>
    <w:rsid w:val="00010C4A"/>
    <w:rsid w:val="00011FB4"/>
    <w:rsid w:val="0001295F"/>
    <w:rsid w:val="0001303A"/>
    <w:rsid w:val="00013A5C"/>
    <w:rsid w:val="00014399"/>
    <w:rsid w:val="000144F6"/>
    <w:rsid w:val="00020455"/>
    <w:rsid w:val="00022FF7"/>
    <w:rsid w:val="000239B9"/>
    <w:rsid w:val="0002454F"/>
    <w:rsid w:val="00025B81"/>
    <w:rsid w:val="00025FB1"/>
    <w:rsid w:val="0002608D"/>
    <w:rsid w:val="0002743D"/>
    <w:rsid w:val="000307BB"/>
    <w:rsid w:val="00030DA3"/>
    <w:rsid w:val="00030ED0"/>
    <w:rsid w:val="0003403A"/>
    <w:rsid w:val="00034517"/>
    <w:rsid w:val="00036590"/>
    <w:rsid w:val="00036FEC"/>
    <w:rsid w:val="00041008"/>
    <w:rsid w:val="0004235D"/>
    <w:rsid w:val="000429AA"/>
    <w:rsid w:val="00042E9B"/>
    <w:rsid w:val="00043EC6"/>
    <w:rsid w:val="000452B2"/>
    <w:rsid w:val="0004672A"/>
    <w:rsid w:val="00046B5F"/>
    <w:rsid w:val="00047B43"/>
    <w:rsid w:val="00047EC7"/>
    <w:rsid w:val="00051E93"/>
    <w:rsid w:val="00055ACE"/>
    <w:rsid w:val="0005626A"/>
    <w:rsid w:val="000613DE"/>
    <w:rsid w:val="000624CC"/>
    <w:rsid w:val="0006485F"/>
    <w:rsid w:val="00065607"/>
    <w:rsid w:val="0006675F"/>
    <w:rsid w:val="00070619"/>
    <w:rsid w:val="00071AD0"/>
    <w:rsid w:val="0007458C"/>
    <w:rsid w:val="00076C6C"/>
    <w:rsid w:val="00080A2C"/>
    <w:rsid w:val="00082022"/>
    <w:rsid w:val="000828C8"/>
    <w:rsid w:val="00083DDE"/>
    <w:rsid w:val="00086B28"/>
    <w:rsid w:val="0008744B"/>
    <w:rsid w:val="0009292E"/>
    <w:rsid w:val="00093DFA"/>
    <w:rsid w:val="000941AA"/>
    <w:rsid w:val="0009426E"/>
    <w:rsid w:val="00095160"/>
    <w:rsid w:val="000974C4"/>
    <w:rsid w:val="000A10F8"/>
    <w:rsid w:val="000A2CA9"/>
    <w:rsid w:val="000A2E4C"/>
    <w:rsid w:val="000A3A4B"/>
    <w:rsid w:val="000A4063"/>
    <w:rsid w:val="000A5F8C"/>
    <w:rsid w:val="000A657D"/>
    <w:rsid w:val="000B03BF"/>
    <w:rsid w:val="000B1D9D"/>
    <w:rsid w:val="000B21AB"/>
    <w:rsid w:val="000C0BB8"/>
    <w:rsid w:val="000C143A"/>
    <w:rsid w:val="000C2762"/>
    <w:rsid w:val="000C39B8"/>
    <w:rsid w:val="000C3C1C"/>
    <w:rsid w:val="000C5AC4"/>
    <w:rsid w:val="000D147E"/>
    <w:rsid w:val="000D3B93"/>
    <w:rsid w:val="000D5F09"/>
    <w:rsid w:val="000D70E0"/>
    <w:rsid w:val="000E1592"/>
    <w:rsid w:val="000E438D"/>
    <w:rsid w:val="000E6C44"/>
    <w:rsid w:val="000E7B75"/>
    <w:rsid w:val="000F0B95"/>
    <w:rsid w:val="000F1FD1"/>
    <w:rsid w:val="000F2DCA"/>
    <w:rsid w:val="000F44A9"/>
    <w:rsid w:val="000F473F"/>
    <w:rsid w:val="000F545D"/>
    <w:rsid w:val="000F5824"/>
    <w:rsid w:val="00105D9E"/>
    <w:rsid w:val="001063C1"/>
    <w:rsid w:val="0010704E"/>
    <w:rsid w:val="00107778"/>
    <w:rsid w:val="00110131"/>
    <w:rsid w:val="00110EE2"/>
    <w:rsid w:val="0011280A"/>
    <w:rsid w:val="00114551"/>
    <w:rsid w:val="00114F72"/>
    <w:rsid w:val="001165B2"/>
    <w:rsid w:val="00120361"/>
    <w:rsid w:val="00121D25"/>
    <w:rsid w:val="00122904"/>
    <w:rsid w:val="00124129"/>
    <w:rsid w:val="00124A8C"/>
    <w:rsid w:val="0012615C"/>
    <w:rsid w:val="00131421"/>
    <w:rsid w:val="0013532E"/>
    <w:rsid w:val="00137348"/>
    <w:rsid w:val="00144233"/>
    <w:rsid w:val="001453FA"/>
    <w:rsid w:val="00146455"/>
    <w:rsid w:val="001464E7"/>
    <w:rsid w:val="00146FA3"/>
    <w:rsid w:val="001471E0"/>
    <w:rsid w:val="0014742F"/>
    <w:rsid w:val="001526DF"/>
    <w:rsid w:val="00153290"/>
    <w:rsid w:val="00153535"/>
    <w:rsid w:val="001559CD"/>
    <w:rsid w:val="00155EBA"/>
    <w:rsid w:val="00156F92"/>
    <w:rsid w:val="00160505"/>
    <w:rsid w:val="00160DAB"/>
    <w:rsid w:val="00161449"/>
    <w:rsid w:val="00163369"/>
    <w:rsid w:val="00164129"/>
    <w:rsid w:val="0016748A"/>
    <w:rsid w:val="001702F9"/>
    <w:rsid w:val="0017172F"/>
    <w:rsid w:val="0017673F"/>
    <w:rsid w:val="00180A2A"/>
    <w:rsid w:val="00181C93"/>
    <w:rsid w:val="00187FBA"/>
    <w:rsid w:val="001906B1"/>
    <w:rsid w:val="00191145"/>
    <w:rsid w:val="00191261"/>
    <w:rsid w:val="001921D7"/>
    <w:rsid w:val="00195A0D"/>
    <w:rsid w:val="001A0E10"/>
    <w:rsid w:val="001A37A7"/>
    <w:rsid w:val="001A3FB8"/>
    <w:rsid w:val="001A4AB3"/>
    <w:rsid w:val="001A6513"/>
    <w:rsid w:val="001A6D73"/>
    <w:rsid w:val="001B1470"/>
    <w:rsid w:val="001B27C6"/>
    <w:rsid w:val="001B6559"/>
    <w:rsid w:val="001B68A7"/>
    <w:rsid w:val="001C263C"/>
    <w:rsid w:val="001C3905"/>
    <w:rsid w:val="001C3AFE"/>
    <w:rsid w:val="001C47EB"/>
    <w:rsid w:val="001C5474"/>
    <w:rsid w:val="001C75E0"/>
    <w:rsid w:val="001C7E65"/>
    <w:rsid w:val="001D2ABC"/>
    <w:rsid w:val="001D36BC"/>
    <w:rsid w:val="001D3C20"/>
    <w:rsid w:val="001D4998"/>
    <w:rsid w:val="001D5019"/>
    <w:rsid w:val="001D5883"/>
    <w:rsid w:val="001D7639"/>
    <w:rsid w:val="001E0B6F"/>
    <w:rsid w:val="001E0E9F"/>
    <w:rsid w:val="001E3723"/>
    <w:rsid w:val="001E401C"/>
    <w:rsid w:val="001E57F2"/>
    <w:rsid w:val="001F0B6B"/>
    <w:rsid w:val="001F0E81"/>
    <w:rsid w:val="001F31C1"/>
    <w:rsid w:val="001F3E86"/>
    <w:rsid w:val="001F5ADC"/>
    <w:rsid w:val="001F5D29"/>
    <w:rsid w:val="001F648F"/>
    <w:rsid w:val="001F64A1"/>
    <w:rsid w:val="001F77FD"/>
    <w:rsid w:val="002014D7"/>
    <w:rsid w:val="00202F8D"/>
    <w:rsid w:val="00205B10"/>
    <w:rsid w:val="00210964"/>
    <w:rsid w:val="00211192"/>
    <w:rsid w:val="00213719"/>
    <w:rsid w:val="00216DEF"/>
    <w:rsid w:val="00216F67"/>
    <w:rsid w:val="002221D2"/>
    <w:rsid w:val="00222AB8"/>
    <w:rsid w:val="0023197A"/>
    <w:rsid w:val="00236AF5"/>
    <w:rsid w:val="00240A64"/>
    <w:rsid w:val="002504B6"/>
    <w:rsid w:val="0025318B"/>
    <w:rsid w:val="0025359A"/>
    <w:rsid w:val="00254559"/>
    <w:rsid w:val="00255740"/>
    <w:rsid w:val="00255F73"/>
    <w:rsid w:val="00261B9B"/>
    <w:rsid w:val="00262F1A"/>
    <w:rsid w:val="00263028"/>
    <w:rsid w:val="00265D31"/>
    <w:rsid w:val="002671DA"/>
    <w:rsid w:val="00267EBA"/>
    <w:rsid w:val="00270BAA"/>
    <w:rsid w:val="00271F67"/>
    <w:rsid w:val="00273ECD"/>
    <w:rsid w:val="00275859"/>
    <w:rsid w:val="0027778A"/>
    <w:rsid w:val="00280B29"/>
    <w:rsid w:val="00280F2E"/>
    <w:rsid w:val="0028169D"/>
    <w:rsid w:val="00287093"/>
    <w:rsid w:val="00296102"/>
    <w:rsid w:val="00297EA0"/>
    <w:rsid w:val="002A13D6"/>
    <w:rsid w:val="002A2365"/>
    <w:rsid w:val="002A291D"/>
    <w:rsid w:val="002A3C77"/>
    <w:rsid w:val="002A41CB"/>
    <w:rsid w:val="002A5A47"/>
    <w:rsid w:val="002A6D81"/>
    <w:rsid w:val="002B2187"/>
    <w:rsid w:val="002B40BF"/>
    <w:rsid w:val="002B6D42"/>
    <w:rsid w:val="002B6DD6"/>
    <w:rsid w:val="002C0318"/>
    <w:rsid w:val="002C1830"/>
    <w:rsid w:val="002C3A5E"/>
    <w:rsid w:val="002C3E54"/>
    <w:rsid w:val="002C48B0"/>
    <w:rsid w:val="002C48C8"/>
    <w:rsid w:val="002C554A"/>
    <w:rsid w:val="002D1C01"/>
    <w:rsid w:val="002D3470"/>
    <w:rsid w:val="002D44D5"/>
    <w:rsid w:val="002D4EB6"/>
    <w:rsid w:val="002D64AB"/>
    <w:rsid w:val="002E11D3"/>
    <w:rsid w:val="002E2BF1"/>
    <w:rsid w:val="002E359C"/>
    <w:rsid w:val="002E54AA"/>
    <w:rsid w:val="002E6603"/>
    <w:rsid w:val="002F0599"/>
    <w:rsid w:val="002F12AA"/>
    <w:rsid w:val="002F420A"/>
    <w:rsid w:val="002F497F"/>
    <w:rsid w:val="002F5563"/>
    <w:rsid w:val="002F5DE9"/>
    <w:rsid w:val="002F6DC3"/>
    <w:rsid w:val="00301FCC"/>
    <w:rsid w:val="00302395"/>
    <w:rsid w:val="00302A56"/>
    <w:rsid w:val="00305388"/>
    <w:rsid w:val="00306181"/>
    <w:rsid w:val="003110BC"/>
    <w:rsid w:val="00312E04"/>
    <w:rsid w:val="00312E2A"/>
    <w:rsid w:val="003139F3"/>
    <w:rsid w:val="003153AD"/>
    <w:rsid w:val="00316D58"/>
    <w:rsid w:val="00320A93"/>
    <w:rsid w:val="00323E23"/>
    <w:rsid w:val="00325DF1"/>
    <w:rsid w:val="003264EB"/>
    <w:rsid w:val="00327413"/>
    <w:rsid w:val="003311B7"/>
    <w:rsid w:val="00333AF4"/>
    <w:rsid w:val="00333F7F"/>
    <w:rsid w:val="0033505E"/>
    <w:rsid w:val="003358E1"/>
    <w:rsid w:val="00335BA7"/>
    <w:rsid w:val="00342BD5"/>
    <w:rsid w:val="00344D29"/>
    <w:rsid w:val="00345594"/>
    <w:rsid w:val="00346053"/>
    <w:rsid w:val="0034609C"/>
    <w:rsid w:val="00347476"/>
    <w:rsid w:val="00350560"/>
    <w:rsid w:val="003506A6"/>
    <w:rsid w:val="00351EEE"/>
    <w:rsid w:val="00353554"/>
    <w:rsid w:val="0035754E"/>
    <w:rsid w:val="00361215"/>
    <w:rsid w:val="00362892"/>
    <w:rsid w:val="003630BB"/>
    <w:rsid w:val="00363F23"/>
    <w:rsid w:val="00366BD6"/>
    <w:rsid w:val="0037173D"/>
    <w:rsid w:val="003729A7"/>
    <w:rsid w:val="00374102"/>
    <w:rsid w:val="00374A35"/>
    <w:rsid w:val="003751EC"/>
    <w:rsid w:val="00380EF1"/>
    <w:rsid w:val="003911ED"/>
    <w:rsid w:val="003948C5"/>
    <w:rsid w:val="00394A42"/>
    <w:rsid w:val="0039597E"/>
    <w:rsid w:val="00395EBC"/>
    <w:rsid w:val="003A0266"/>
    <w:rsid w:val="003A031B"/>
    <w:rsid w:val="003A1B36"/>
    <w:rsid w:val="003A328E"/>
    <w:rsid w:val="003A3BC3"/>
    <w:rsid w:val="003A40FB"/>
    <w:rsid w:val="003A494D"/>
    <w:rsid w:val="003A5DA1"/>
    <w:rsid w:val="003A6160"/>
    <w:rsid w:val="003A6D57"/>
    <w:rsid w:val="003A74AA"/>
    <w:rsid w:val="003A7EA7"/>
    <w:rsid w:val="003B1A9F"/>
    <w:rsid w:val="003B1DA0"/>
    <w:rsid w:val="003B4283"/>
    <w:rsid w:val="003B47B8"/>
    <w:rsid w:val="003B60EC"/>
    <w:rsid w:val="003B70CA"/>
    <w:rsid w:val="003B7A1D"/>
    <w:rsid w:val="003C1D4C"/>
    <w:rsid w:val="003C3A92"/>
    <w:rsid w:val="003C3CEF"/>
    <w:rsid w:val="003C3E68"/>
    <w:rsid w:val="003C750A"/>
    <w:rsid w:val="003D2256"/>
    <w:rsid w:val="003D35B6"/>
    <w:rsid w:val="003D6150"/>
    <w:rsid w:val="003D6F58"/>
    <w:rsid w:val="003D7143"/>
    <w:rsid w:val="003D751A"/>
    <w:rsid w:val="003D77FD"/>
    <w:rsid w:val="003E0D0E"/>
    <w:rsid w:val="003E1FF4"/>
    <w:rsid w:val="003E265F"/>
    <w:rsid w:val="003E3292"/>
    <w:rsid w:val="003E3941"/>
    <w:rsid w:val="003E474B"/>
    <w:rsid w:val="003E7652"/>
    <w:rsid w:val="003F13A9"/>
    <w:rsid w:val="003F1AA0"/>
    <w:rsid w:val="003F558B"/>
    <w:rsid w:val="003F662A"/>
    <w:rsid w:val="003F7F87"/>
    <w:rsid w:val="0040076E"/>
    <w:rsid w:val="00402A3F"/>
    <w:rsid w:val="00402CB7"/>
    <w:rsid w:val="00403696"/>
    <w:rsid w:val="0040396B"/>
    <w:rsid w:val="00405C02"/>
    <w:rsid w:val="00405D3B"/>
    <w:rsid w:val="00406FF8"/>
    <w:rsid w:val="00412D4C"/>
    <w:rsid w:val="00413972"/>
    <w:rsid w:val="00414294"/>
    <w:rsid w:val="00414681"/>
    <w:rsid w:val="00414F62"/>
    <w:rsid w:val="004160C9"/>
    <w:rsid w:val="00416408"/>
    <w:rsid w:val="004179FE"/>
    <w:rsid w:val="00420655"/>
    <w:rsid w:val="00421493"/>
    <w:rsid w:val="00421A1C"/>
    <w:rsid w:val="004249AB"/>
    <w:rsid w:val="00427BB6"/>
    <w:rsid w:val="00431A76"/>
    <w:rsid w:val="00432A16"/>
    <w:rsid w:val="00434A39"/>
    <w:rsid w:val="004365BE"/>
    <w:rsid w:val="0043697B"/>
    <w:rsid w:val="00437FAC"/>
    <w:rsid w:val="0044262B"/>
    <w:rsid w:val="004467B8"/>
    <w:rsid w:val="00446F3A"/>
    <w:rsid w:val="00447BE0"/>
    <w:rsid w:val="004512FE"/>
    <w:rsid w:val="0045157F"/>
    <w:rsid w:val="00452206"/>
    <w:rsid w:val="004523E9"/>
    <w:rsid w:val="004526D3"/>
    <w:rsid w:val="00452F60"/>
    <w:rsid w:val="00453981"/>
    <w:rsid w:val="00453E29"/>
    <w:rsid w:val="0045750B"/>
    <w:rsid w:val="004621F6"/>
    <w:rsid w:val="00463BD0"/>
    <w:rsid w:val="00465324"/>
    <w:rsid w:val="00465C2A"/>
    <w:rsid w:val="00471259"/>
    <w:rsid w:val="00471DFC"/>
    <w:rsid w:val="00471F1A"/>
    <w:rsid w:val="00472823"/>
    <w:rsid w:val="00473C80"/>
    <w:rsid w:val="00475D29"/>
    <w:rsid w:val="00477399"/>
    <w:rsid w:val="004776F4"/>
    <w:rsid w:val="004777CD"/>
    <w:rsid w:val="0048178C"/>
    <w:rsid w:val="00481DD7"/>
    <w:rsid w:val="00482947"/>
    <w:rsid w:val="00483115"/>
    <w:rsid w:val="00483A89"/>
    <w:rsid w:val="0048444F"/>
    <w:rsid w:val="00484CE7"/>
    <w:rsid w:val="004860AE"/>
    <w:rsid w:val="00487319"/>
    <w:rsid w:val="00487424"/>
    <w:rsid w:val="00487BCD"/>
    <w:rsid w:val="004937D1"/>
    <w:rsid w:val="004A01F4"/>
    <w:rsid w:val="004A0B75"/>
    <w:rsid w:val="004A0D66"/>
    <w:rsid w:val="004A120D"/>
    <w:rsid w:val="004A2890"/>
    <w:rsid w:val="004A29C5"/>
    <w:rsid w:val="004A3C47"/>
    <w:rsid w:val="004A5F0C"/>
    <w:rsid w:val="004A78AF"/>
    <w:rsid w:val="004B00DD"/>
    <w:rsid w:val="004B03B7"/>
    <w:rsid w:val="004B0A70"/>
    <w:rsid w:val="004B42A7"/>
    <w:rsid w:val="004B551D"/>
    <w:rsid w:val="004B78AA"/>
    <w:rsid w:val="004C055F"/>
    <w:rsid w:val="004C08A8"/>
    <w:rsid w:val="004C2B37"/>
    <w:rsid w:val="004C31D7"/>
    <w:rsid w:val="004C63C4"/>
    <w:rsid w:val="004D03B3"/>
    <w:rsid w:val="004D0629"/>
    <w:rsid w:val="004D0EDE"/>
    <w:rsid w:val="004D1939"/>
    <w:rsid w:val="004D54DB"/>
    <w:rsid w:val="004D608B"/>
    <w:rsid w:val="004D696E"/>
    <w:rsid w:val="004D76CC"/>
    <w:rsid w:val="004D7F48"/>
    <w:rsid w:val="004E0112"/>
    <w:rsid w:val="004E1499"/>
    <w:rsid w:val="004E2FF7"/>
    <w:rsid w:val="004E423E"/>
    <w:rsid w:val="004E5213"/>
    <w:rsid w:val="004E5FC9"/>
    <w:rsid w:val="004E6309"/>
    <w:rsid w:val="004F192E"/>
    <w:rsid w:val="004F1FA4"/>
    <w:rsid w:val="004F542A"/>
    <w:rsid w:val="004F6AF8"/>
    <w:rsid w:val="004F718C"/>
    <w:rsid w:val="004F7A27"/>
    <w:rsid w:val="00501179"/>
    <w:rsid w:val="00502211"/>
    <w:rsid w:val="005032DF"/>
    <w:rsid w:val="00505997"/>
    <w:rsid w:val="005062CB"/>
    <w:rsid w:val="00506E92"/>
    <w:rsid w:val="00510426"/>
    <w:rsid w:val="00510CA4"/>
    <w:rsid w:val="00510F89"/>
    <w:rsid w:val="00512711"/>
    <w:rsid w:val="00514273"/>
    <w:rsid w:val="00514BCE"/>
    <w:rsid w:val="005154FB"/>
    <w:rsid w:val="005157B4"/>
    <w:rsid w:val="00516A66"/>
    <w:rsid w:val="00516CB8"/>
    <w:rsid w:val="00517290"/>
    <w:rsid w:val="0051789B"/>
    <w:rsid w:val="00517F8F"/>
    <w:rsid w:val="0052154F"/>
    <w:rsid w:val="00521678"/>
    <w:rsid w:val="00521E47"/>
    <w:rsid w:val="00524637"/>
    <w:rsid w:val="00524A0F"/>
    <w:rsid w:val="005252ED"/>
    <w:rsid w:val="00527774"/>
    <w:rsid w:val="005316B8"/>
    <w:rsid w:val="00532445"/>
    <w:rsid w:val="005357F9"/>
    <w:rsid w:val="005368D6"/>
    <w:rsid w:val="00537016"/>
    <w:rsid w:val="00537E74"/>
    <w:rsid w:val="00542FBF"/>
    <w:rsid w:val="0054311A"/>
    <w:rsid w:val="00544BE0"/>
    <w:rsid w:val="005466CE"/>
    <w:rsid w:val="005510BD"/>
    <w:rsid w:val="00551DF8"/>
    <w:rsid w:val="00557AC1"/>
    <w:rsid w:val="005631F5"/>
    <w:rsid w:val="00563E00"/>
    <w:rsid w:val="00564761"/>
    <w:rsid w:val="00565355"/>
    <w:rsid w:val="00571754"/>
    <w:rsid w:val="00572675"/>
    <w:rsid w:val="00573C14"/>
    <w:rsid w:val="00573DAF"/>
    <w:rsid w:val="00575025"/>
    <w:rsid w:val="005759AB"/>
    <w:rsid w:val="00575EE4"/>
    <w:rsid w:val="00576203"/>
    <w:rsid w:val="005771A0"/>
    <w:rsid w:val="00580780"/>
    <w:rsid w:val="0058370A"/>
    <w:rsid w:val="00591E72"/>
    <w:rsid w:val="00591E93"/>
    <w:rsid w:val="005931C6"/>
    <w:rsid w:val="00593A46"/>
    <w:rsid w:val="005976A2"/>
    <w:rsid w:val="00597EAB"/>
    <w:rsid w:val="005A0596"/>
    <w:rsid w:val="005A247D"/>
    <w:rsid w:val="005A26AA"/>
    <w:rsid w:val="005A35E8"/>
    <w:rsid w:val="005A3707"/>
    <w:rsid w:val="005A524B"/>
    <w:rsid w:val="005A60C0"/>
    <w:rsid w:val="005A6F0D"/>
    <w:rsid w:val="005B1AB2"/>
    <w:rsid w:val="005B2DB8"/>
    <w:rsid w:val="005B43FA"/>
    <w:rsid w:val="005B5382"/>
    <w:rsid w:val="005B5B7A"/>
    <w:rsid w:val="005B5E02"/>
    <w:rsid w:val="005B78A4"/>
    <w:rsid w:val="005B7EE9"/>
    <w:rsid w:val="005C0422"/>
    <w:rsid w:val="005C19C4"/>
    <w:rsid w:val="005C4FB6"/>
    <w:rsid w:val="005C78AE"/>
    <w:rsid w:val="005D0A57"/>
    <w:rsid w:val="005D3623"/>
    <w:rsid w:val="005D3A56"/>
    <w:rsid w:val="005D3DE7"/>
    <w:rsid w:val="005D466D"/>
    <w:rsid w:val="005D5523"/>
    <w:rsid w:val="005D6698"/>
    <w:rsid w:val="005E0ACA"/>
    <w:rsid w:val="005E2040"/>
    <w:rsid w:val="005E3971"/>
    <w:rsid w:val="005E3A35"/>
    <w:rsid w:val="005E75F3"/>
    <w:rsid w:val="005F3B20"/>
    <w:rsid w:val="005F476C"/>
    <w:rsid w:val="005F6B10"/>
    <w:rsid w:val="006000A3"/>
    <w:rsid w:val="006019EB"/>
    <w:rsid w:val="00602EB1"/>
    <w:rsid w:val="00605AE0"/>
    <w:rsid w:val="0060631B"/>
    <w:rsid w:val="006105CB"/>
    <w:rsid w:val="0061194B"/>
    <w:rsid w:val="00613432"/>
    <w:rsid w:val="00613866"/>
    <w:rsid w:val="00616494"/>
    <w:rsid w:val="00625554"/>
    <w:rsid w:val="00625724"/>
    <w:rsid w:val="00627E87"/>
    <w:rsid w:val="00630D56"/>
    <w:rsid w:val="00630F48"/>
    <w:rsid w:val="00637C76"/>
    <w:rsid w:val="00637E20"/>
    <w:rsid w:val="0064202B"/>
    <w:rsid w:val="00642ADC"/>
    <w:rsid w:val="006465DF"/>
    <w:rsid w:val="00646CB0"/>
    <w:rsid w:val="00647867"/>
    <w:rsid w:val="006537CD"/>
    <w:rsid w:val="00653C22"/>
    <w:rsid w:val="00654056"/>
    <w:rsid w:val="00654F13"/>
    <w:rsid w:val="00655FAC"/>
    <w:rsid w:val="00656C9B"/>
    <w:rsid w:val="00656EEB"/>
    <w:rsid w:val="00657B6A"/>
    <w:rsid w:val="00660713"/>
    <w:rsid w:val="00662CE8"/>
    <w:rsid w:val="0066495A"/>
    <w:rsid w:val="00665233"/>
    <w:rsid w:val="00666020"/>
    <w:rsid w:val="00666AF4"/>
    <w:rsid w:val="00667561"/>
    <w:rsid w:val="00667987"/>
    <w:rsid w:val="00670731"/>
    <w:rsid w:val="00671898"/>
    <w:rsid w:val="00673769"/>
    <w:rsid w:val="00675BB4"/>
    <w:rsid w:val="00676449"/>
    <w:rsid w:val="00677AC2"/>
    <w:rsid w:val="00681479"/>
    <w:rsid w:val="00681ED1"/>
    <w:rsid w:val="00682018"/>
    <w:rsid w:val="00682649"/>
    <w:rsid w:val="0068358C"/>
    <w:rsid w:val="0068592C"/>
    <w:rsid w:val="0068597F"/>
    <w:rsid w:val="00686DF9"/>
    <w:rsid w:val="0068764B"/>
    <w:rsid w:val="00690498"/>
    <w:rsid w:val="0069082C"/>
    <w:rsid w:val="0069158A"/>
    <w:rsid w:val="00691A25"/>
    <w:rsid w:val="00693C91"/>
    <w:rsid w:val="006952BA"/>
    <w:rsid w:val="006962B3"/>
    <w:rsid w:val="00697721"/>
    <w:rsid w:val="006A219B"/>
    <w:rsid w:val="006A5DBE"/>
    <w:rsid w:val="006A7260"/>
    <w:rsid w:val="006A7D45"/>
    <w:rsid w:val="006B1786"/>
    <w:rsid w:val="006B5572"/>
    <w:rsid w:val="006B6680"/>
    <w:rsid w:val="006B74B4"/>
    <w:rsid w:val="006C0A85"/>
    <w:rsid w:val="006C1820"/>
    <w:rsid w:val="006C1B64"/>
    <w:rsid w:val="006C37E9"/>
    <w:rsid w:val="006C3F16"/>
    <w:rsid w:val="006C5F93"/>
    <w:rsid w:val="006C6808"/>
    <w:rsid w:val="006C7957"/>
    <w:rsid w:val="006D1230"/>
    <w:rsid w:val="006D3130"/>
    <w:rsid w:val="006D584E"/>
    <w:rsid w:val="006D5B12"/>
    <w:rsid w:val="006D77D1"/>
    <w:rsid w:val="006E04E4"/>
    <w:rsid w:val="006E14EE"/>
    <w:rsid w:val="006E1787"/>
    <w:rsid w:val="006E5B81"/>
    <w:rsid w:val="006F120A"/>
    <w:rsid w:val="006F4737"/>
    <w:rsid w:val="006F5E25"/>
    <w:rsid w:val="006F6479"/>
    <w:rsid w:val="006F731A"/>
    <w:rsid w:val="00700EB9"/>
    <w:rsid w:val="007049B5"/>
    <w:rsid w:val="00706E5D"/>
    <w:rsid w:val="00707AC0"/>
    <w:rsid w:val="00710A33"/>
    <w:rsid w:val="00711489"/>
    <w:rsid w:val="00715A27"/>
    <w:rsid w:val="007168E2"/>
    <w:rsid w:val="00716A2A"/>
    <w:rsid w:val="00717B99"/>
    <w:rsid w:val="00717D88"/>
    <w:rsid w:val="00720A36"/>
    <w:rsid w:val="0072484E"/>
    <w:rsid w:val="00724A08"/>
    <w:rsid w:val="007256A1"/>
    <w:rsid w:val="00727653"/>
    <w:rsid w:val="00731C41"/>
    <w:rsid w:val="00732F3F"/>
    <w:rsid w:val="007353C7"/>
    <w:rsid w:val="0073663E"/>
    <w:rsid w:val="00737E83"/>
    <w:rsid w:val="007449F3"/>
    <w:rsid w:val="0074633E"/>
    <w:rsid w:val="00746429"/>
    <w:rsid w:val="0074684B"/>
    <w:rsid w:val="0075040E"/>
    <w:rsid w:val="00750CBE"/>
    <w:rsid w:val="00751E7B"/>
    <w:rsid w:val="007543C8"/>
    <w:rsid w:val="00755E9D"/>
    <w:rsid w:val="00760D2D"/>
    <w:rsid w:val="00762FFF"/>
    <w:rsid w:val="00767B59"/>
    <w:rsid w:val="0077035C"/>
    <w:rsid w:val="00772172"/>
    <w:rsid w:val="00772B59"/>
    <w:rsid w:val="00773FA7"/>
    <w:rsid w:val="00776603"/>
    <w:rsid w:val="007774A8"/>
    <w:rsid w:val="00777F7B"/>
    <w:rsid w:val="00780AD1"/>
    <w:rsid w:val="00782DDF"/>
    <w:rsid w:val="007841C6"/>
    <w:rsid w:val="00784A3B"/>
    <w:rsid w:val="00785F5A"/>
    <w:rsid w:val="00791A0D"/>
    <w:rsid w:val="007935B8"/>
    <w:rsid w:val="0079447F"/>
    <w:rsid w:val="00795ADC"/>
    <w:rsid w:val="00797D96"/>
    <w:rsid w:val="007A2B60"/>
    <w:rsid w:val="007A45D5"/>
    <w:rsid w:val="007A65B0"/>
    <w:rsid w:val="007A6942"/>
    <w:rsid w:val="007B0117"/>
    <w:rsid w:val="007B273A"/>
    <w:rsid w:val="007B2AC5"/>
    <w:rsid w:val="007B6B69"/>
    <w:rsid w:val="007C14B3"/>
    <w:rsid w:val="007C2161"/>
    <w:rsid w:val="007C6ADC"/>
    <w:rsid w:val="007D0983"/>
    <w:rsid w:val="007D0FC7"/>
    <w:rsid w:val="007D1545"/>
    <w:rsid w:val="007D1BB6"/>
    <w:rsid w:val="007D5D76"/>
    <w:rsid w:val="007D7BA9"/>
    <w:rsid w:val="007E04C0"/>
    <w:rsid w:val="007E0D8F"/>
    <w:rsid w:val="007E1386"/>
    <w:rsid w:val="007E3D96"/>
    <w:rsid w:val="007E569A"/>
    <w:rsid w:val="007E59B6"/>
    <w:rsid w:val="007F169D"/>
    <w:rsid w:val="007F3AC9"/>
    <w:rsid w:val="007F48B5"/>
    <w:rsid w:val="007F4CC3"/>
    <w:rsid w:val="007F6D6F"/>
    <w:rsid w:val="00801170"/>
    <w:rsid w:val="00801202"/>
    <w:rsid w:val="0080522A"/>
    <w:rsid w:val="00805773"/>
    <w:rsid w:val="00806E1B"/>
    <w:rsid w:val="00807D80"/>
    <w:rsid w:val="00807D83"/>
    <w:rsid w:val="0081100A"/>
    <w:rsid w:val="00816E8F"/>
    <w:rsid w:val="00821CD9"/>
    <w:rsid w:val="00823D10"/>
    <w:rsid w:val="00826E2B"/>
    <w:rsid w:val="0083143B"/>
    <w:rsid w:val="00831C36"/>
    <w:rsid w:val="00833A34"/>
    <w:rsid w:val="008347F3"/>
    <w:rsid w:val="00835229"/>
    <w:rsid w:val="00841245"/>
    <w:rsid w:val="00842319"/>
    <w:rsid w:val="00842335"/>
    <w:rsid w:val="0084244D"/>
    <w:rsid w:val="00843162"/>
    <w:rsid w:val="008448EB"/>
    <w:rsid w:val="00847149"/>
    <w:rsid w:val="0084779A"/>
    <w:rsid w:val="00847DB1"/>
    <w:rsid w:val="008504AA"/>
    <w:rsid w:val="008506DA"/>
    <w:rsid w:val="00850D18"/>
    <w:rsid w:val="0085106D"/>
    <w:rsid w:val="00853166"/>
    <w:rsid w:val="00855980"/>
    <w:rsid w:val="00856431"/>
    <w:rsid w:val="00862C1C"/>
    <w:rsid w:val="00863945"/>
    <w:rsid w:val="00863C20"/>
    <w:rsid w:val="00865342"/>
    <w:rsid w:val="00873E23"/>
    <w:rsid w:val="00874168"/>
    <w:rsid w:val="00880008"/>
    <w:rsid w:val="00882EE8"/>
    <w:rsid w:val="00883550"/>
    <w:rsid w:val="0088709F"/>
    <w:rsid w:val="00891FAC"/>
    <w:rsid w:val="00892003"/>
    <w:rsid w:val="00893E0B"/>
    <w:rsid w:val="00893ECA"/>
    <w:rsid w:val="008961FC"/>
    <w:rsid w:val="0089654E"/>
    <w:rsid w:val="008975D4"/>
    <w:rsid w:val="008A5F0D"/>
    <w:rsid w:val="008A5FAF"/>
    <w:rsid w:val="008A7FC7"/>
    <w:rsid w:val="008B1224"/>
    <w:rsid w:val="008B1258"/>
    <w:rsid w:val="008B214F"/>
    <w:rsid w:val="008B2700"/>
    <w:rsid w:val="008B29CE"/>
    <w:rsid w:val="008B703F"/>
    <w:rsid w:val="008C04C4"/>
    <w:rsid w:val="008C2F87"/>
    <w:rsid w:val="008D2FD6"/>
    <w:rsid w:val="008D5214"/>
    <w:rsid w:val="008D5376"/>
    <w:rsid w:val="008D5B31"/>
    <w:rsid w:val="008D5D06"/>
    <w:rsid w:val="008E0912"/>
    <w:rsid w:val="008E3159"/>
    <w:rsid w:val="008E5F28"/>
    <w:rsid w:val="008E74D4"/>
    <w:rsid w:val="008E78B2"/>
    <w:rsid w:val="008F5B7E"/>
    <w:rsid w:val="00901EDA"/>
    <w:rsid w:val="00902193"/>
    <w:rsid w:val="009039AF"/>
    <w:rsid w:val="00904FAC"/>
    <w:rsid w:val="0090524C"/>
    <w:rsid w:val="009138DD"/>
    <w:rsid w:val="009140E1"/>
    <w:rsid w:val="00921832"/>
    <w:rsid w:val="00925126"/>
    <w:rsid w:val="00925640"/>
    <w:rsid w:val="00925D2C"/>
    <w:rsid w:val="00931EC3"/>
    <w:rsid w:val="00932F3F"/>
    <w:rsid w:val="00935CC4"/>
    <w:rsid w:val="00940666"/>
    <w:rsid w:val="00944594"/>
    <w:rsid w:val="00947063"/>
    <w:rsid w:val="0094728D"/>
    <w:rsid w:val="0095093C"/>
    <w:rsid w:val="00953D14"/>
    <w:rsid w:val="00954709"/>
    <w:rsid w:val="009559A3"/>
    <w:rsid w:val="00963C69"/>
    <w:rsid w:val="00970BF7"/>
    <w:rsid w:val="0097237A"/>
    <w:rsid w:val="00981F26"/>
    <w:rsid w:val="00982018"/>
    <w:rsid w:val="00982C0A"/>
    <w:rsid w:val="00982F7A"/>
    <w:rsid w:val="00986ABA"/>
    <w:rsid w:val="00990CE3"/>
    <w:rsid w:val="00992A98"/>
    <w:rsid w:val="009938B1"/>
    <w:rsid w:val="00994035"/>
    <w:rsid w:val="00994B57"/>
    <w:rsid w:val="009972C7"/>
    <w:rsid w:val="009A023C"/>
    <w:rsid w:val="009A158A"/>
    <w:rsid w:val="009A2B39"/>
    <w:rsid w:val="009A3561"/>
    <w:rsid w:val="009A5FA3"/>
    <w:rsid w:val="009A64A5"/>
    <w:rsid w:val="009A7590"/>
    <w:rsid w:val="009B0144"/>
    <w:rsid w:val="009B238A"/>
    <w:rsid w:val="009B25D5"/>
    <w:rsid w:val="009B5517"/>
    <w:rsid w:val="009C21F9"/>
    <w:rsid w:val="009C4F8F"/>
    <w:rsid w:val="009C77DC"/>
    <w:rsid w:val="009C7A64"/>
    <w:rsid w:val="009D1779"/>
    <w:rsid w:val="009D1ACB"/>
    <w:rsid w:val="009D4BA9"/>
    <w:rsid w:val="009D4D5A"/>
    <w:rsid w:val="009E0D20"/>
    <w:rsid w:val="009E1ED0"/>
    <w:rsid w:val="009E2DFE"/>
    <w:rsid w:val="009E426F"/>
    <w:rsid w:val="009F245F"/>
    <w:rsid w:val="009F31F8"/>
    <w:rsid w:val="009F361B"/>
    <w:rsid w:val="009F37C0"/>
    <w:rsid w:val="009F5C16"/>
    <w:rsid w:val="009F753E"/>
    <w:rsid w:val="00A01137"/>
    <w:rsid w:val="00A014D0"/>
    <w:rsid w:val="00A051BA"/>
    <w:rsid w:val="00A05E06"/>
    <w:rsid w:val="00A122B5"/>
    <w:rsid w:val="00A1235E"/>
    <w:rsid w:val="00A1445C"/>
    <w:rsid w:val="00A172E1"/>
    <w:rsid w:val="00A20D73"/>
    <w:rsid w:val="00A2143F"/>
    <w:rsid w:val="00A2574E"/>
    <w:rsid w:val="00A27252"/>
    <w:rsid w:val="00A30A2F"/>
    <w:rsid w:val="00A33475"/>
    <w:rsid w:val="00A34835"/>
    <w:rsid w:val="00A40CEE"/>
    <w:rsid w:val="00A41785"/>
    <w:rsid w:val="00A467F3"/>
    <w:rsid w:val="00A5070E"/>
    <w:rsid w:val="00A5165D"/>
    <w:rsid w:val="00A52B4D"/>
    <w:rsid w:val="00A531ED"/>
    <w:rsid w:val="00A53481"/>
    <w:rsid w:val="00A54844"/>
    <w:rsid w:val="00A551BE"/>
    <w:rsid w:val="00A55279"/>
    <w:rsid w:val="00A56621"/>
    <w:rsid w:val="00A567EE"/>
    <w:rsid w:val="00A57758"/>
    <w:rsid w:val="00A63CDE"/>
    <w:rsid w:val="00A65FE1"/>
    <w:rsid w:val="00A679E7"/>
    <w:rsid w:val="00A704B3"/>
    <w:rsid w:val="00A706E8"/>
    <w:rsid w:val="00A728DE"/>
    <w:rsid w:val="00A73E42"/>
    <w:rsid w:val="00A75E11"/>
    <w:rsid w:val="00A770ED"/>
    <w:rsid w:val="00A81D82"/>
    <w:rsid w:val="00A8391D"/>
    <w:rsid w:val="00A85DF7"/>
    <w:rsid w:val="00A91D4F"/>
    <w:rsid w:val="00A92B4A"/>
    <w:rsid w:val="00A93B33"/>
    <w:rsid w:val="00A93D05"/>
    <w:rsid w:val="00A93E75"/>
    <w:rsid w:val="00A95500"/>
    <w:rsid w:val="00A9575F"/>
    <w:rsid w:val="00A96E16"/>
    <w:rsid w:val="00A96F96"/>
    <w:rsid w:val="00AA04AF"/>
    <w:rsid w:val="00AA29AD"/>
    <w:rsid w:val="00AA684B"/>
    <w:rsid w:val="00AA6FA8"/>
    <w:rsid w:val="00AA7B98"/>
    <w:rsid w:val="00AA7E76"/>
    <w:rsid w:val="00AB0921"/>
    <w:rsid w:val="00AB6FC0"/>
    <w:rsid w:val="00AB7F85"/>
    <w:rsid w:val="00AC0B00"/>
    <w:rsid w:val="00AC10DC"/>
    <w:rsid w:val="00AC2328"/>
    <w:rsid w:val="00AC2BFC"/>
    <w:rsid w:val="00AC310C"/>
    <w:rsid w:val="00AC757B"/>
    <w:rsid w:val="00AD11C2"/>
    <w:rsid w:val="00AD213C"/>
    <w:rsid w:val="00AD23A0"/>
    <w:rsid w:val="00AD2890"/>
    <w:rsid w:val="00AD4F57"/>
    <w:rsid w:val="00AD56BF"/>
    <w:rsid w:val="00AD7451"/>
    <w:rsid w:val="00AE0CE7"/>
    <w:rsid w:val="00AE28E2"/>
    <w:rsid w:val="00AE579A"/>
    <w:rsid w:val="00AF0199"/>
    <w:rsid w:val="00AF1B78"/>
    <w:rsid w:val="00AF26AF"/>
    <w:rsid w:val="00AF465F"/>
    <w:rsid w:val="00AF58C4"/>
    <w:rsid w:val="00AF719E"/>
    <w:rsid w:val="00AF7B22"/>
    <w:rsid w:val="00B00533"/>
    <w:rsid w:val="00B01798"/>
    <w:rsid w:val="00B026CC"/>
    <w:rsid w:val="00B0333C"/>
    <w:rsid w:val="00B042D1"/>
    <w:rsid w:val="00B06D9C"/>
    <w:rsid w:val="00B1312E"/>
    <w:rsid w:val="00B13EB3"/>
    <w:rsid w:val="00B1476E"/>
    <w:rsid w:val="00B168CC"/>
    <w:rsid w:val="00B17357"/>
    <w:rsid w:val="00B17CA5"/>
    <w:rsid w:val="00B24CA6"/>
    <w:rsid w:val="00B2543F"/>
    <w:rsid w:val="00B26E5B"/>
    <w:rsid w:val="00B27184"/>
    <w:rsid w:val="00B279A6"/>
    <w:rsid w:val="00B302A4"/>
    <w:rsid w:val="00B32AAE"/>
    <w:rsid w:val="00B33C4F"/>
    <w:rsid w:val="00B41B21"/>
    <w:rsid w:val="00B41E39"/>
    <w:rsid w:val="00B46134"/>
    <w:rsid w:val="00B51F2D"/>
    <w:rsid w:val="00B53913"/>
    <w:rsid w:val="00B541EE"/>
    <w:rsid w:val="00B56C8F"/>
    <w:rsid w:val="00B57D88"/>
    <w:rsid w:val="00B6055C"/>
    <w:rsid w:val="00B644E4"/>
    <w:rsid w:val="00B67668"/>
    <w:rsid w:val="00B700C9"/>
    <w:rsid w:val="00B76756"/>
    <w:rsid w:val="00B76FA1"/>
    <w:rsid w:val="00B801CC"/>
    <w:rsid w:val="00B821C2"/>
    <w:rsid w:val="00B82974"/>
    <w:rsid w:val="00B837D4"/>
    <w:rsid w:val="00B84630"/>
    <w:rsid w:val="00B861AE"/>
    <w:rsid w:val="00B871BA"/>
    <w:rsid w:val="00B87948"/>
    <w:rsid w:val="00B90F44"/>
    <w:rsid w:val="00B92C4D"/>
    <w:rsid w:val="00B94ADC"/>
    <w:rsid w:val="00B95F76"/>
    <w:rsid w:val="00B969E1"/>
    <w:rsid w:val="00B96C51"/>
    <w:rsid w:val="00B96C63"/>
    <w:rsid w:val="00B96D4A"/>
    <w:rsid w:val="00BA1549"/>
    <w:rsid w:val="00BA1E44"/>
    <w:rsid w:val="00BA386A"/>
    <w:rsid w:val="00BA5C86"/>
    <w:rsid w:val="00BA70C2"/>
    <w:rsid w:val="00BB0B6B"/>
    <w:rsid w:val="00BB39CE"/>
    <w:rsid w:val="00BB3E90"/>
    <w:rsid w:val="00BB4F3E"/>
    <w:rsid w:val="00BB5168"/>
    <w:rsid w:val="00BB56EA"/>
    <w:rsid w:val="00BB675A"/>
    <w:rsid w:val="00BB6E63"/>
    <w:rsid w:val="00BC111D"/>
    <w:rsid w:val="00BC164E"/>
    <w:rsid w:val="00BC1B0E"/>
    <w:rsid w:val="00BC1E3E"/>
    <w:rsid w:val="00BC2557"/>
    <w:rsid w:val="00BC38BA"/>
    <w:rsid w:val="00BC505D"/>
    <w:rsid w:val="00BD1973"/>
    <w:rsid w:val="00BD2E9F"/>
    <w:rsid w:val="00BD7DB2"/>
    <w:rsid w:val="00BE0A83"/>
    <w:rsid w:val="00BE6786"/>
    <w:rsid w:val="00BE6B0B"/>
    <w:rsid w:val="00BE6E4E"/>
    <w:rsid w:val="00BF2CA7"/>
    <w:rsid w:val="00BF5261"/>
    <w:rsid w:val="00BF61F6"/>
    <w:rsid w:val="00BF62EB"/>
    <w:rsid w:val="00BF6386"/>
    <w:rsid w:val="00BF7FAB"/>
    <w:rsid w:val="00C00483"/>
    <w:rsid w:val="00C03ED2"/>
    <w:rsid w:val="00C05616"/>
    <w:rsid w:val="00C0704B"/>
    <w:rsid w:val="00C10B3F"/>
    <w:rsid w:val="00C11772"/>
    <w:rsid w:val="00C119D0"/>
    <w:rsid w:val="00C12337"/>
    <w:rsid w:val="00C132A4"/>
    <w:rsid w:val="00C14471"/>
    <w:rsid w:val="00C15CEF"/>
    <w:rsid w:val="00C178B5"/>
    <w:rsid w:val="00C23D5E"/>
    <w:rsid w:val="00C25F81"/>
    <w:rsid w:val="00C31974"/>
    <w:rsid w:val="00C31E44"/>
    <w:rsid w:val="00C32057"/>
    <w:rsid w:val="00C323F4"/>
    <w:rsid w:val="00C32ECC"/>
    <w:rsid w:val="00C32F0A"/>
    <w:rsid w:val="00C33AD5"/>
    <w:rsid w:val="00C33F20"/>
    <w:rsid w:val="00C3515E"/>
    <w:rsid w:val="00C356E9"/>
    <w:rsid w:val="00C35BD9"/>
    <w:rsid w:val="00C426E8"/>
    <w:rsid w:val="00C44D43"/>
    <w:rsid w:val="00C4545A"/>
    <w:rsid w:val="00C46DC1"/>
    <w:rsid w:val="00C46EF0"/>
    <w:rsid w:val="00C4713C"/>
    <w:rsid w:val="00C50B9D"/>
    <w:rsid w:val="00C5259C"/>
    <w:rsid w:val="00C53B39"/>
    <w:rsid w:val="00C55FA9"/>
    <w:rsid w:val="00C56998"/>
    <w:rsid w:val="00C56BBB"/>
    <w:rsid w:val="00C5714C"/>
    <w:rsid w:val="00C57C82"/>
    <w:rsid w:val="00C57EBB"/>
    <w:rsid w:val="00C60B1E"/>
    <w:rsid w:val="00C65CF3"/>
    <w:rsid w:val="00C66707"/>
    <w:rsid w:val="00C67C97"/>
    <w:rsid w:val="00C70551"/>
    <w:rsid w:val="00C70849"/>
    <w:rsid w:val="00C71E96"/>
    <w:rsid w:val="00C72965"/>
    <w:rsid w:val="00C74B13"/>
    <w:rsid w:val="00C75A68"/>
    <w:rsid w:val="00C80172"/>
    <w:rsid w:val="00C81FDB"/>
    <w:rsid w:val="00C82413"/>
    <w:rsid w:val="00C83926"/>
    <w:rsid w:val="00C87C72"/>
    <w:rsid w:val="00CA0880"/>
    <w:rsid w:val="00CA332B"/>
    <w:rsid w:val="00CA4FF4"/>
    <w:rsid w:val="00CA5C03"/>
    <w:rsid w:val="00CB0777"/>
    <w:rsid w:val="00CB1924"/>
    <w:rsid w:val="00CB2047"/>
    <w:rsid w:val="00CB64BD"/>
    <w:rsid w:val="00CB7041"/>
    <w:rsid w:val="00CB7921"/>
    <w:rsid w:val="00CC248B"/>
    <w:rsid w:val="00CC3A1F"/>
    <w:rsid w:val="00CC528C"/>
    <w:rsid w:val="00CC60F6"/>
    <w:rsid w:val="00CC749A"/>
    <w:rsid w:val="00CD016D"/>
    <w:rsid w:val="00CD10D2"/>
    <w:rsid w:val="00CD7481"/>
    <w:rsid w:val="00CD77AB"/>
    <w:rsid w:val="00CE0E9E"/>
    <w:rsid w:val="00CE203A"/>
    <w:rsid w:val="00CE21BB"/>
    <w:rsid w:val="00CE38F1"/>
    <w:rsid w:val="00CE5134"/>
    <w:rsid w:val="00CF0E91"/>
    <w:rsid w:val="00CF2455"/>
    <w:rsid w:val="00CF458C"/>
    <w:rsid w:val="00CF5065"/>
    <w:rsid w:val="00CF5EA4"/>
    <w:rsid w:val="00CF65FC"/>
    <w:rsid w:val="00CF6724"/>
    <w:rsid w:val="00CF6BA3"/>
    <w:rsid w:val="00D0059C"/>
    <w:rsid w:val="00D00890"/>
    <w:rsid w:val="00D017C6"/>
    <w:rsid w:val="00D02A8C"/>
    <w:rsid w:val="00D05AEF"/>
    <w:rsid w:val="00D065D2"/>
    <w:rsid w:val="00D06F3F"/>
    <w:rsid w:val="00D12D67"/>
    <w:rsid w:val="00D13756"/>
    <w:rsid w:val="00D144F2"/>
    <w:rsid w:val="00D14FE8"/>
    <w:rsid w:val="00D17A2E"/>
    <w:rsid w:val="00D22BAD"/>
    <w:rsid w:val="00D23185"/>
    <w:rsid w:val="00D26385"/>
    <w:rsid w:val="00D26776"/>
    <w:rsid w:val="00D277CB"/>
    <w:rsid w:val="00D27A44"/>
    <w:rsid w:val="00D30242"/>
    <w:rsid w:val="00D30B76"/>
    <w:rsid w:val="00D30F5A"/>
    <w:rsid w:val="00D314CB"/>
    <w:rsid w:val="00D3269B"/>
    <w:rsid w:val="00D32EF2"/>
    <w:rsid w:val="00D342CF"/>
    <w:rsid w:val="00D40E48"/>
    <w:rsid w:val="00D41D59"/>
    <w:rsid w:val="00D47A89"/>
    <w:rsid w:val="00D47A96"/>
    <w:rsid w:val="00D506D1"/>
    <w:rsid w:val="00D5154F"/>
    <w:rsid w:val="00D51B15"/>
    <w:rsid w:val="00D5279E"/>
    <w:rsid w:val="00D53BB0"/>
    <w:rsid w:val="00D54EE4"/>
    <w:rsid w:val="00D57DE3"/>
    <w:rsid w:val="00D63641"/>
    <w:rsid w:val="00D64393"/>
    <w:rsid w:val="00D66A52"/>
    <w:rsid w:val="00D67E38"/>
    <w:rsid w:val="00D7018A"/>
    <w:rsid w:val="00D707B5"/>
    <w:rsid w:val="00D70E15"/>
    <w:rsid w:val="00D757A0"/>
    <w:rsid w:val="00D8005F"/>
    <w:rsid w:val="00D80DCA"/>
    <w:rsid w:val="00D80FAC"/>
    <w:rsid w:val="00D8196B"/>
    <w:rsid w:val="00D81BB1"/>
    <w:rsid w:val="00D834BA"/>
    <w:rsid w:val="00D85143"/>
    <w:rsid w:val="00D870DD"/>
    <w:rsid w:val="00D90321"/>
    <w:rsid w:val="00D9169F"/>
    <w:rsid w:val="00D92CA0"/>
    <w:rsid w:val="00D97937"/>
    <w:rsid w:val="00DA2B5A"/>
    <w:rsid w:val="00DA4AEC"/>
    <w:rsid w:val="00DA4F70"/>
    <w:rsid w:val="00DA6EFC"/>
    <w:rsid w:val="00DB01D6"/>
    <w:rsid w:val="00DB2032"/>
    <w:rsid w:val="00DB2D85"/>
    <w:rsid w:val="00DB3A85"/>
    <w:rsid w:val="00DB552F"/>
    <w:rsid w:val="00DB6804"/>
    <w:rsid w:val="00DB7EB2"/>
    <w:rsid w:val="00DC045B"/>
    <w:rsid w:val="00DC0DAE"/>
    <w:rsid w:val="00DC1B7F"/>
    <w:rsid w:val="00DC23CB"/>
    <w:rsid w:val="00DC733B"/>
    <w:rsid w:val="00DD24F9"/>
    <w:rsid w:val="00DD59E4"/>
    <w:rsid w:val="00DE048A"/>
    <w:rsid w:val="00DE2927"/>
    <w:rsid w:val="00DE4CB7"/>
    <w:rsid w:val="00DF0D8A"/>
    <w:rsid w:val="00DF2275"/>
    <w:rsid w:val="00DF3FFD"/>
    <w:rsid w:val="00DF4551"/>
    <w:rsid w:val="00DF5104"/>
    <w:rsid w:val="00E01F3A"/>
    <w:rsid w:val="00E03E3D"/>
    <w:rsid w:val="00E046E9"/>
    <w:rsid w:val="00E04A19"/>
    <w:rsid w:val="00E05108"/>
    <w:rsid w:val="00E06251"/>
    <w:rsid w:val="00E10EE9"/>
    <w:rsid w:val="00E12366"/>
    <w:rsid w:val="00E14F5D"/>
    <w:rsid w:val="00E2131A"/>
    <w:rsid w:val="00E2281B"/>
    <w:rsid w:val="00E24782"/>
    <w:rsid w:val="00E25486"/>
    <w:rsid w:val="00E26A4A"/>
    <w:rsid w:val="00E27E63"/>
    <w:rsid w:val="00E31EB2"/>
    <w:rsid w:val="00E31EF6"/>
    <w:rsid w:val="00E330BB"/>
    <w:rsid w:val="00E33472"/>
    <w:rsid w:val="00E34DFC"/>
    <w:rsid w:val="00E36A6B"/>
    <w:rsid w:val="00E3736B"/>
    <w:rsid w:val="00E44756"/>
    <w:rsid w:val="00E4486E"/>
    <w:rsid w:val="00E44EA3"/>
    <w:rsid w:val="00E5083C"/>
    <w:rsid w:val="00E50E4F"/>
    <w:rsid w:val="00E5175B"/>
    <w:rsid w:val="00E51899"/>
    <w:rsid w:val="00E534F0"/>
    <w:rsid w:val="00E55AEC"/>
    <w:rsid w:val="00E56B7B"/>
    <w:rsid w:val="00E57B3E"/>
    <w:rsid w:val="00E62292"/>
    <w:rsid w:val="00E6249A"/>
    <w:rsid w:val="00E650B1"/>
    <w:rsid w:val="00E67689"/>
    <w:rsid w:val="00E7047E"/>
    <w:rsid w:val="00E731EE"/>
    <w:rsid w:val="00E73FFE"/>
    <w:rsid w:val="00E748CB"/>
    <w:rsid w:val="00E74CB5"/>
    <w:rsid w:val="00E75986"/>
    <w:rsid w:val="00E761F5"/>
    <w:rsid w:val="00E82751"/>
    <w:rsid w:val="00E85651"/>
    <w:rsid w:val="00E86D37"/>
    <w:rsid w:val="00E86F97"/>
    <w:rsid w:val="00E870C2"/>
    <w:rsid w:val="00E87356"/>
    <w:rsid w:val="00E87E70"/>
    <w:rsid w:val="00E901F4"/>
    <w:rsid w:val="00E90AF4"/>
    <w:rsid w:val="00E91C2B"/>
    <w:rsid w:val="00E92E26"/>
    <w:rsid w:val="00E93DE7"/>
    <w:rsid w:val="00E977E2"/>
    <w:rsid w:val="00EA00AB"/>
    <w:rsid w:val="00EA0211"/>
    <w:rsid w:val="00EA42AD"/>
    <w:rsid w:val="00EA54C6"/>
    <w:rsid w:val="00EA6A3E"/>
    <w:rsid w:val="00EB2904"/>
    <w:rsid w:val="00EB3503"/>
    <w:rsid w:val="00EB3BC7"/>
    <w:rsid w:val="00EB45CA"/>
    <w:rsid w:val="00EB4F28"/>
    <w:rsid w:val="00EC013F"/>
    <w:rsid w:val="00EC0883"/>
    <w:rsid w:val="00EC20AA"/>
    <w:rsid w:val="00EC3268"/>
    <w:rsid w:val="00EC4006"/>
    <w:rsid w:val="00EC500C"/>
    <w:rsid w:val="00EC5216"/>
    <w:rsid w:val="00EC5DD4"/>
    <w:rsid w:val="00EC6506"/>
    <w:rsid w:val="00ED23A3"/>
    <w:rsid w:val="00ED23E1"/>
    <w:rsid w:val="00ED441C"/>
    <w:rsid w:val="00ED7A08"/>
    <w:rsid w:val="00ED7A9B"/>
    <w:rsid w:val="00EE073B"/>
    <w:rsid w:val="00EE0CB4"/>
    <w:rsid w:val="00EE2B43"/>
    <w:rsid w:val="00EE3BF4"/>
    <w:rsid w:val="00EE6325"/>
    <w:rsid w:val="00EE790F"/>
    <w:rsid w:val="00EF132E"/>
    <w:rsid w:val="00EF1FA8"/>
    <w:rsid w:val="00EF2777"/>
    <w:rsid w:val="00EF2CB1"/>
    <w:rsid w:val="00EF39E7"/>
    <w:rsid w:val="00EF45F2"/>
    <w:rsid w:val="00EF5DB2"/>
    <w:rsid w:val="00EF617B"/>
    <w:rsid w:val="00EF7157"/>
    <w:rsid w:val="00EF7BB3"/>
    <w:rsid w:val="00F00B0F"/>
    <w:rsid w:val="00F02B97"/>
    <w:rsid w:val="00F033A3"/>
    <w:rsid w:val="00F03843"/>
    <w:rsid w:val="00F043F4"/>
    <w:rsid w:val="00F07644"/>
    <w:rsid w:val="00F07871"/>
    <w:rsid w:val="00F1655C"/>
    <w:rsid w:val="00F21020"/>
    <w:rsid w:val="00F234EE"/>
    <w:rsid w:val="00F2437F"/>
    <w:rsid w:val="00F25D52"/>
    <w:rsid w:val="00F30A3B"/>
    <w:rsid w:val="00F3357A"/>
    <w:rsid w:val="00F34131"/>
    <w:rsid w:val="00F361D4"/>
    <w:rsid w:val="00F37581"/>
    <w:rsid w:val="00F379E5"/>
    <w:rsid w:val="00F408EB"/>
    <w:rsid w:val="00F42A1D"/>
    <w:rsid w:val="00F43482"/>
    <w:rsid w:val="00F4657D"/>
    <w:rsid w:val="00F50B60"/>
    <w:rsid w:val="00F511E8"/>
    <w:rsid w:val="00F55CDA"/>
    <w:rsid w:val="00F573A0"/>
    <w:rsid w:val="00F5750D"/>
    <w:rsid w:val="00F57F86"/>
    <w:rsid w:val="00F60999"/>
    <w:rsid w:val="00F620A6"/>
    <w:rsid w:val="00F63DF8"/>
    <w:rsid w:val="00F6469B"/>
    <w:rsid w:val="00F64E37"/>
    <w:rsid w:val="00F67CBD"/>
    <w:rsid w:val="00F711DC"/>
    <w:rsid w:val="00F72626"/>
    <w:rsid w:val="00F72A1A"/>
    <w:rsid w:val="00F72DD0"/>
    <w:rsid w:val="00F75016"/>
    <w:rsid w:val="00F76FC5"/>
    <w:rsid w:val="00F779B0"/>
    <w:rsid w:val="00F8030C"/>
    <w:rsid w:val="00F8604B"/>
    <w:rsid w:val="00F863DC"/>
    <w:rsid w:val="00F87A23"/>
    <w:rsid w:val="00F963BC"/>
    <w:rsid w:val="00F97D99"/>
    <w:rsid w:val="00FA365A"/>
    <w:rsid w:val="00FA3765"/>
    <w:rsid w:val="00FA7D33"/>
    <w:rsid w:val="00FB0E28"/>
    <w:rsid w:val="00FB11CD"/>
    <w:rsid w:val="00FB2122"/>
    <w:rsid w:val="00FB3317"/>
    <w:rsid w:val="00FB339E"/>
    <w:rsid w:val="00FB4D77"/>
    <w:rsid w:val="00FC3F83"/>
    <w:rsid w:val="00FC4933"/>
    <w:rsid w:val="00FD2B40"/>
    <w:rsid w:val="00FD3130"/>
    <w:rsid w:val="00FD356C"/>
    <w:rsid w:val="00FD46D9"/>
    <w:rsid w:val="00FD5217"/>
    <w:rsid w:val="00FE6765"/>
    <w:rsid w:val="00FE699B"/>
    <w:rsid w:val="00FE7EB8"/>
    <w:rsid w:val="00FF08CB"/>
    <w:rsid w:val="00FF2E71"/>
    <w:rsid w:val="00FF3EB5"/>
    <w:rsid w:val="00FF432A"/>
    <w:rsid w:val="00FF4EB1"/>
    <w:rsid w:val="00FF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0F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10F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D11C2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Block Text"/>
    <w:basedOn w:val="a"/>
    <w:rsid w:val="00AD11C2"/>
    <w:pPr>
      <w:spacing w:after="20"/>
      <w:ind w:left="567" w:right="-607" w:firstLine="720"/>
      <w:jc w:val="both"/>
    </w:pPr>
    <w:rPr>
      <w:sz w:val="28"/>
      <w:szCs w:val="20"/>
    </w:rPr>
  </w:style>
  <w:style w:type="table" w:styleId="a5">
    <w:name w:val="Table Grid"/>
    <w:basedOn w:val="a1"/>
    <w:rsid w:val="00AD1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AD11C2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D11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 Знак"/>
    <w:basedOn w:val="a"/>
    <w:autoRedefine/>
    <w:rsid w:val="00B700C9"/>
    <w:pPr>
      <w:autoSpaceDE w:val="0"/>
      <w:autoSpaceDN w:val="0"/>
      <w:adjustRightInd w:val="0"/>
      <w:ind w:firstLineChars="257"/>
    </w:pPr>
    <w:rPr>
      <w:rFonts w:ascii="Arial" w:hAnsi="Arial" w:cs="Arial"/>
      <w:sz w:val="20"/>
      <w:szCs w:val="20"/>
      <w:lang w:val="en-ZA" w:eastAsia="en-ZA"/>
    </w:rPr>
  </w:style>
  <w:style w:type="paragraph" w:styleId="a9">
    <w:name w:val="Title"/>
    <w:basedOn w:val="a"/>
    <w:link w:val="aa"/>
    <w:qFormat/>
    <w:rsid w:val="00B700C9"/>
    <w:pPr>
      <w:jc w:val="center"/>
    </w:pPr>
    <w:rPr>
      <w:i/>
      <w:szCs w:val="20"/>
    </w:rPr>
  </w:style>
  <w:style w:type="character" w:customStyle="1" w:styleId="aa">
    <w:name w:val="Название Знак"/>
    <w:basedOn w:val="a0"/>
    <w:link w:val="a9"/>
    <w:rsid w:val="00B700C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b">
    <w:name w:val="List Paragraph"/>
    <w:basedOn w:val="a"/>
    <w:qFormat/>
    <w:rsid w:val="007D1B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rsid w:val="007D1BB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D1BB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10F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10F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Body Text"/>
    <w:basedOn w:val="a"/>
    <w:link w:val="ad"/>
    <w:rsid w:val="00510F89"/>
    <w:pPr>
      <w:spacing w:after="120"/>
    </w:pPr>
  </w:style>
  <w:style w:type="character" w:customStyle="1" w:styleId="ad">
    <w:name w:val="Основной текст Знак"/>
    <w:basedOn w:val="a0"/>
    <w:link w:val="ac"/>
    <w:rsid w:val="00510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510F89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510F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10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510F89"/>
    <w:rPr>
      <w:rFonts w:ascii="Verdana" w:hAnsi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4B0A7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B0A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1819</Words>
  <Characters>10373</Characters>
  <Application>Microsoft Office Word</Application>
  <DocSecurity>0</DocSecurity>
  <Lines>86</Lines>
  <Paragraphs>24</Paragraphs>
  <ScaleCrop>false</ScaleCrop>
  <Company>Microsoft</Company>
  <LinksUpToDate>false</LinksUpToDate>
  <CharactersWithSpaces>12168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2013-03-14T13:17:00Z</dcterms:created>
  <dcterms:modified xsi:type="dcterms:W3CDTF">2013-03-14T13:17:00Z</dcterms:modified>
</cp:coreProperties>
</file>