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6" w:rsidRPr="007713BB" w:rsidRDefault="007D1BB6" w:rsidP="007D1BB6">
      <w:pPr>
        <w:shd w:val="clear" w:color="auto" w:fill="FFFFFF"/>
        <w:spacing w:after="60"/>
        <w:jc w:val="both"/>
        <w:rPr>
          <w:sz w:val="20"/>
          <w:szCs w:val="20"/>
        </w:rPr>
      </w:pPr>
      <w:r w:rsidRPr="007713BB">
        <w:rPr>
          <w:sz w:val="20"/>
          <w:szCs w:val="20"/>
        </w:rPr>
        <w:t>УДК 636.22/.28.053:612.32</w:t>
      </w:r>
    </w:p>
    <w:p w:rsidR="007D1BB6" w:rsidRPr="007713BB" w:rsidRDefault="007D1BB6" w:rsidP="007D1BB6">
      <w:pPr>
        <w:shd w:val="clear" w:color="auto" w:fill="FFFFFF"/>
        <w:jc w:val="center"/>
        <w:rPr>
          <w:b/>
          <w:sz w:val="20"/>
          <w:szCs w:val="20"/>
        </w:rPr>
      </w:pPr>
      <w:r w:rsidRPr="007713BB">
        <w:rPr>
          <w:b/>
          <w:sz w:val="20"/>
          <w:szCs w:val="20"/>
        </w:rPr>
        <w:t>УЛЬТРАСТРУКТУРА</w:t>
      </w:r>
      <w:r w:rsidRPr="007713BB">
        <w:rPr>
          <w:b/>
          <w:sz w:val="20"/>
          <w:szCs w:val="20"/>
          <w:lang w:val="be-BY"/>
        </w:rPr>
        <w:t xml:space="preserve"> </w:t>
      </w:r>
      <w:r w:rsidRPr="007713BB">
        <w:rPr>
          <w:b/>
          <w:sz w:val="20"/>
          <w:szCs w:val="20"/>
        </w:rPr>
        <w:t>РАЗВИВАЮЩИХСЯ ЭПИТ</w:t>
      </w:r>
      <w:r w:rsidRPr="007713BB">
        <w:rPr>
          <w:b/>
          <w:sz w:val="20"/>
          <w:szCs w:val="20"/>
        </w:rPr>
        <w:t>Е</w:t>
      </w:r>
      <w:r w:rsidRPr="007713BB">
        <w:rPr>
          <w:b/>
          <w:sz w:val="20"/>
          <w:szCs w:val="20"/>
        </w:rPr>
        <w:t>ЛИОЦИТОВ СЛИЗИСТОЙ ОБОЛОЧКИ СЫЧУГА</w:t>
      </w:r>
      <w:r>
        <w:rPr>
          <w:b/>
          <w:sz w:val="20"/>
          <w:szCs w:val="20"/>
        </w:rPr>
        <w:t xml:space="preserve"> ТЕЛЯТ</w:t>
      </w:r>
      <w:r w:rsidRPr="007713BB">
        <w:rPr>
          <w:b/>
          <w:sz w:val="20"/>
          <w:szCs w:val="20"/>
          <w:lang w:val="be-BY"/>
        </w:rPr>
        <w:t xml:space="preserve"> </w:t>
      </w:r>
      <w:r>
        <w:rPr>
          <w:b/>
          <w:sz w:val="20"/>
          <w:szCs w:val="20"/>
        </w:rPr>
        <w:t>С</w:t>
      </w:r>
      <w:r w:rsidRPr="007713BB">
        <w:rPr>
          <w:b/>
          <w:sz w:val="20"/>
          <w:szCs w:val="20"/>
          <w:lang w:val="be-BY"/>
        </w:rPr>
        <w:t xml:space="preserve"> </w:t>
      </w:r>
      <w:r w:rsidRPr="007713BB">
        <w:rPr>
          <w:b/>
          <w:sz w:val="20"/>
          <w:szCs w:val="20"/>
        </w:rPr>
        <w:t>РАЗНОЙ СТЕПЕНЬЮ ФИЗИОЛОГИЧЕСКОЙ</w:t>
      </w:r>
      <w:r w:rsidRPr="007713BB">
        <w:rPr>
          <w:b/>
          <w:sz w:val="20"/>
          <w:szCs w:val="20"/>
          <w:lang w:val="be-BY"/>
        </w:rPr>
        <w:t xml:space="preserve"> </w:t>
      </w:r>
      <w:r w:rsidRPr="007713BB">
        <w:rPr>
          <w:b/>
          <w:sz w:val="20"/>
          <w:szCs w:val="20"/>
        </w:rPr>
        <w:t>ЗРЕЛОСТИ ПРИ РОЖД</w:t>
      </w:r>
      <w:r w:rsidRPr="007713BB">
        <w:rPr>
          <w:b/>
          <w:sz w:val="20"/>
          <w:szCs w:val="20"/>
        </w:rPr>
        <w:t>Е</w:t>
      </w:r>
      <w:r w:rsidRPr="007713BB">
        <w:rPr>
          <w:b/>
          <w:sz w:val="20"/>
          <w:szCs w:val="20"/>
        </w:rPr>
        <w:t>НИИ</w:t>
      </w:r>
    </w:p>
    <w:p w:rsidR="007D1BB6" w:rsidRDefault="007D1BB6" w:rsidP="007D1BB6">
      <w:pPr>
        <w:shd w:val="clear" w:color="auto" w:fill="FFFFFF"/>
        <w:rPr>
          <w:b/>
          <w:sz w:val="20"/>
          <w:szCs w:val="20"/>
        </w:rPr>
      </w:pPr>
      <w:r w:rsidRPr="007713BB">
        <w:rPr>
          <w:b/>
          <w:sz w:val="20"/>
          <w:szCs w:val="20"/>
        </w:rPr>
        <w:t xml:space="preserve">В.В. </w:t>
      </w:r>
      <w:proofErr w:type="spellStart"/>
      <w:r w:rsidRPr="007713BB">
        <w:rPr>
          <w:b/>
          <w:sz w:val="20"/>
          <w:szCs w:val="20"/>
        </w:rPr>
        <w:t>Малашко</w:t>
      </w:r>
      <w:proofErr w:type="spellEnd"/>
      <w:r w:rsidRPr="007713BB">
        <w:rPr>
          <w:b/>
          <w:sz w:val="20"/>
          <w:szCs w:val="20"/>
        </w:rPr>
        <w:t xml:space="preserve">, Г.А. </w:t>
      </w:r>
      <w:proofErr w:type="spellStart"/>
      <w:r w:rsidRPr="007713BB">
        <w:rPr>
          <w:b/>
          <w:sz w:val="20"/>
          <w:szCs w:val="20"/>
        </w:rPr>
        <w:t>Тумилович</w:t>
      </w:r>
      <w:proofErr w:type="spellEnd"/>
      <w:r w:rsidRPr="007713BB">
        <w:rPr>
          <w:b/>
          <w:sz w:val="20"/>
          <w:szCs w:val="20"/>
        </w:rPr>
        <w:t xml:space="preserve">, Д.Н. </w:t>
      </w:r>
      <w:proofErr w:type="spellStart"/>
      <w:r w:rsidRPr="007713BB">
        <w:rPr>
          <w:b/>
          <w:sz w:val="20"/>
          <w:szCs w:val="20"/>
        </w:rPr>
        <w:t>Хар</w:t>
      </w:r>
      <w:r w:rsidRPr="007713BB">
        <w:rPr>
          <w:b/>
          <w:sz w:val="20"/>
          <w:szCs w:val="20"/>
        </w:rPr>
        <w:t>и</w:t>
      </w:r>
      <w:r w:rsidRPr="007713BB">
        <w:rPr>
          <w:b/>
          <w:sz w:val="20"/>
          <w:szCs w:val="20"/>
        </w:rPr>
        <w:t>тоник</w:t>
      </w:r>
      <w:proofErr w:type="spellEnd"/>
      <w:r w:rsidRPr="007713BB">
        <w:rPr>
          <w:b/>
          <w:sz w:val="20"/>
          <w:szCs w:val="20"/>
        </w:rPr>
        <w:t xml:space="preserve">, </w:t>
      </w:r>
    </w:p>
    <w:p w:rsidR="007D1BB6" w:rsidRPr="007713BB" w:rsidRDefault="007D1BB6" w:rsidP="007D1BB6">
      <w:pPr>
        <w:shd w:val="clear" w:color="auto" w:fill="FFFFFF"/>
        <w:rPr>
          <w:b/>
          <w:sz w:val="20"/>
          <w:szCs w:val="20"/>
        </w:rPr>
      </w:pPr>
      <w:r w:rsidRPr="007713BB">
        <w:rPr>
          <w:b/>
          <w:sz w:val="20"/>
          <w:szCs w:val="20"/>
        </w:rPr>
        <w:t xml:space="preserve">Е.И. </w:t>
      </w:r>
      <w:proofErr w:type="spellStart"/>
      <w:r>
        <w:rPr>
          <w:b/>
          <w:sz w:val="20"/>
          <w:szCs w:val="20"/>
        </w:rPr>
        <w:t>Х</w:t>
      </w:r>
      <w:r w:rsidRPr="007713BB">
        <w:rPr>
          <w:b/>
          <w:sz w:val="20"/>
          <w:szCs w:val="20"/>
        </w:rPr>
        <w:t>омутинник</w:t>
      </w:r>
      <w:proofErr w:type="spellEnd"/>
      <w:r w:rsidRPr="007713BB">
        <w:rPr>
          <w:b/>
          <w:sz w:val="20"/>
          <w:szCs w:val="20"/>
        </w:rPr>
        <w:t xml:space="preserve">, А.А. </w:t>
      </w:r>
      <w:proofErr w:type="spellStart"/>
      <w:r w:rsidRPr="007713BB">
        <w:rPr>
          <w:b/>
          <w:sz w:val="20"/>
          <w:szCs w:val="20"/>
        </w:rPr>
        <w:t>Арабкович</w:t>
      </w:r>
      <w:proofErr w:type="spellEnd"/>
    </w:p>
    <w:p w:rsidR="007D1BB6" w:rsidRPr="007713BB" w:rsidRDefault="007D1BB6" w:rsidP="007D1BB6">
      <w:pPr>
        <w:shd w:val="clear" w:color="auto" w:fill="FFFFFF"/>
        <w:rPr>
          <w:sz w:val="20"/>
          <w:szCs w:val="20"/>
        </w:rPr>
      </w:pPr>
      <w:r w:rsidRPr="007713BB">
        <w:rPr>
          <w:sz w:val="20"/>
          <w:szCs w:val="20"/>
        </w:rPr>
        <w:t>УО «Гродненский государственный аграрный университет»,</w:t>
      </w:r>
    </w:p>
    <w:p w:rsidR="007D1BB6" w:rsidRPr="007713BB" w:rsidRDefault="007D1BB6" w:rsidP="007D1BB6">
      <w:pPr>
        <w:shd w:val="clear" w:color="auto" w:fill="FFFFFF"/>
        <w:rPr>
          <w:sz w:val="20"/>
          <w:szCs w:val="20"/>
        </w:rPr>
      </w:pPr>
      <w:r w:rsidRPr="007713BB">
        <w:rPr>
          <w:sz w:val="20"/>
          <w:szCs w:val="20"/>
        </w:rPr>
        <w:t>г. Гро</w:t>
      </w:r>
      <w:r>
        <w:rPr>
          <w:sz w:val="20"/>
          <w:szCs w:val="20"/>
        </w:rPr>
        <w:t>дно, Республика Беларусь</w:t>
      </w:r>
    </w:p>
    <w:p w:rsidR="007D1BB6" w:rsidRPr="007713BB" w:rsidRDefault="007D1BB6" w:rsidP="007D1BB6">
      <w:pPr>
        <w:shd w:val="clear" w:color="auto" w:fill="FFFFFF"/>
        <w:ind w:firstLine="284"/>
        <w:jc w:val="center"/>
        <w:rPr>
          <w:sz w:val="20"/>
          <w:szCs w:val="20"/>
        </w:rPr>
      </w:pPr>
    </w:p>
    <w:p w:rsidR="007D1BB6" w:rsidRPr="00B12425" w:rsidRDefault="007D1BB6" w:rsidP="007D1BB6">
      <w:pPr>
        <w:shd w:val="clear" w:color="auto" w:fill="FFFFFF"/>
        <w:jc w:val="center"/>
        <w:rPr>
          <w:i/>
          <w:sz w:val="16"/>
          <w:szCs w:val="16"/>
        </w:rPr>
      </w:pPr>
      <w:r w:rsidRPr="00B12425">
        <w:rPr>
          <w:i/>
          <w:sz w:val="16"/>
          <w:szCs w:val="16"/>
        </w:rPr>
        <w:t>(Поступила в редакцию 31.05.2010 г.)</w:t>
      </w:r>
    </w:p>
    <w:p w:rsidR="007D1BB6" w:rsidRPr="007713BB" w:rsidRDefault="007D1BB6" w:rsidP="007D1BB6">
      <w:pPr>
        <w:shd w:val="clear" w:color="auto" w:fill="FFFFFF"/>
        <w:ind w:firstLine="284"/>
        <w:jc w:val="center"/>
        <w:rPr>
          <w:sz w:val="20"/>
          <w:szCs w:val="20"/>
        </w:rPr>
      </w:pPr>
    </w:p>
    <w:p w:rsidR="007D1BB6" w:rsidRDefault="007D1BB6" w:rsidP="007D1BB6">
      <w:pPr>
        <w:shd w:val="clear" w:color="auto" w:fill="FFFFFF"/>
        <w:ind w:firstLine="284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Аннотация. </w:t>
      </w:r>
      <w:r>
        <w:rPr>
          <w:i/>
          <w:sz w:val="16"/>
          <w:szCs w:val="16"/>
        </w:rPr>
        <w:t>В статье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приведены результаты исследований особенностей ультр</w:t>
      </w:r>
      <w:r>
        <w:rPr>
          <w:i/>
          <w:sz w:val="16"/>
          <w:szCs w:val="16"/>
        </w:rPr>
        <w:t>а</w:t>
      </w:r>
      <w:r>
        <w:rPr>
          <w:i/>
          <w:sz w:val="16"/>
          <w:szCs w:val="16"/>
        </w:rPr>
        <w:t xml:space="preserve">структурной организации </w:t>
      </w:r>
      <w:proofErr w:type="spellStart"/>
      <w:r>
        <w:rPr>
          <w:i/>
          <w:sz w:val="16"/>
          <w:szCs w:val="16"/>
        </w:rPr>
        <w:t>эпителиоцитов</w:t>
      </w:r>
      <w:proofErr w:type="spellEnd"/>
      <w:r>
        <w:rPr>
          <w:i/>
          <w:sz w:val="16"/>
          <w:szCs w:val="16"/>
        </w:rPr>
        <w:t xml:space="preserve"> сычуга новорожденных телят с разной степенью физиологической зрел</w:t>
      </w:r>
      <w:r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сти при рождении. У телят с низкой живой массой при рождении отмечаются деструктивные процессы </w:t>
      </w:r>
      <w:proofErr w:type="spellStart"/>
      <w:r>
        <w:rPr>
          <w:i/>
          <w:sz w:val="16"/>
          <w:szCs w:val="16"/>
        </w:rPr>
        <w:t>эпителиоцитов</w:t>
      </w:r>
      <w:proofErr w:type="spellEnd"/>
      <w:r>
        <w:rPr>
          <w:i/>
          <w:sz w:val="16"/>
          <w:szCs w:val="16"/>
        </w:rPr>
        <w:t xml:space="preserve"> сычуга.</w:t>
      </w:r>
    </w:p>
    <w:p w:rsidR="007D1BB6" w:rsidRDefault="007D1BB6" w:rsidP="007D1BB6">
      <w:pPr>
        <w:shd w:val="clear" w:color="auto" w:fill="FFFFFF"/>
        <w:ind w:firstLine="284"/>
        <w:jc w:val="both"/>
        <w:rPr>
          <w:rFonts w:ascii="Segoe UI" w:hAnsi="Segoe UI" w:cs="Segoe UI"/>
          <w:i/>
          <w:color w:val="000000"/>
          <w:sz w:val="16"/>
          <w:szCs w:val="16"/>
          <w:lang w:val="en-US"/>
        </w:rPr>
      </w:pPr>
      <w:proofErr w:type="gramStart"/>
      <w:r>
        <w:rPr>
          <w:b/>
          <w:bCs/>
          <w:i/>
          <w:sz w:val="16"/>
          <w:szCs w:val="16"/>
          <w:lang w:val="en-US"/>
        </w:rPr>
        <w:t>The summary.</w:t>
      </w:r>
      <w:proofErr w:type="gramEnd"/>
      <w:r>
        <w:rPr>
          <w:b/>
          <w:bCs/>
          <w:i/>
          <w:sz w:val="16"/>
          <w:szCs w:val="16"/>
          <w:lang w:val="en-US"/>
        </w:rPr>
        <w:t xml:space="preserve"> </w:t>
      </w:r>
      <w:r>
        <w:rPr>
          <w:i/>
          <w:iCs/>
          <w:sz w:val="16"/>
          <w:szCs w:val="16"/>
          <w:lang w:val="en-US"/>
        </w:rPr>
        <w:t xml:space="preserve">In article results of researches of features of the </w:t>
      </w:r>
      <w:proofErr w:type="spellStart"/>
      <w:r>
        <w:rPr>
          <w:i/>
          <w:iCs/>
          <w:sz w:val="16"/>
          <w:szCs w:val="16"/>
          <w:lang w:val="en-US"/>
        </w:rPr>
        <w:t>ultrastructural</w:t>
      </w:r>
      <w:proofErr w:type="spellEnd"/>
      <w:r>
        <w:rPr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i/>
          <w:iCs/>
          <w:sz w:val="16"/>
          <w:szCs w:val="16"/>
          <w:lang w:val="en-US"/>
        </w:rPr>
        <w:t>organis</w:t>
      </w:r>
      <w:r>
        <w:rPr>
          <w:i/>
          <w:iCs/>
          <w:sz w:val="16"/>
          <w:szCs w:val="16"/>
          <w:lang w:val="en-US"/>
        </w:rPr>
        <w:t>a</w:t>
      </w:r>
      <w:r>
        <w:rPr>
          <w:i/>
          <w:iCs/>
          <w:sz w:val="16"/>
          <w:szCs w:val="16"/>
          <w:lang w:val="en-US"/>
        </w:rPr>
        <w:t>tion</w:t>
      </w:r>
      <w:proofErr w:type="spellEnd"/>
      <w:r>
        <w:rPr>
          <w:i/>
          <w:iCs/>
          <w:sz w:val="16"/>
          <w:szCs w:val="16"/>
          <w:lang w:val="en-US"/>
        </w:rPr>
        <w:t xml:space="preserve"> of epithelial cells of a rennet bag of neonatal calves with different degree of a physiolog</w:t>
      </w:r>
      <w:r>
        <w:rPr>
          <w:i/>
          <w:iCs/>
          <w:sz w:val="16"/>
          <w:szCs w:val="16"/>
          <w:lang w:val="en-US"/>
        </w:rPr>
        <w:t>i</w:t>
      </w:r>
      <w:r>
        <w:rPr>
          <w:i/>
          <w:iCs/>
          <w:sz w:val="16"/>
          <w:szCs w:val="16"/>
          <w:lang w:val="en-US"/>
        </w:rPr>
        <w:t>cal maturity are resulted at a birth. At calves with low alive mass at a birth destructive processes of epithelial cells of a rennet bag become perceptible.</w:t>
      </w:r>
    </w:p>
    <w:p w:rsidR="007D1BB6" w:rsidRPr="007D1BB6" w:rsidRDefault="007D1BB6" w:rsidP="007D1BB6">
      <w:pPr>
        <w:ind w:firstLine="284"/>
        <w:jc w:val="both"/>
        <w:rPr>
          <w:sz w:val="20"/>
          <w:szCs w:val="20"/>
          <w:lang w:val="en-US"/>
        </w:rPr>
      </w:pPr>
    </w:p>
    <w:p w:rsidR="007D1BB6" w:rsidRPr="007713BB" w:rsidRDefault="007D1BB6" w:rsidP="007D1BB6">
      <w:pPr>
        <w:ind w:firstLine="284"/>
        <w:jc w:val="both"/>
        <w:rPr>
          <w:sz w:val="20"/>
          <w:szCs w:val="20"/>
        </w:rPr>
      </w:pPr>
      <w:r w:rsidRPr="007713BB">
        <w:rPr>
          <w:b/>
          <w:sz w:val="20"/>
          <w:szCs w:val="20"/>
        </w:rPr>
        <w:t xml:space="preserve">Введение. </w:t>
      </w:r>
      <w:r w:rsidRPr="007713BB">
        <w:rPr>
          <w:sz w:val="20"/>
          <w:szCs w:val="20"/>
        </w:rPr>
        <w:t>По литературным данным [1, 6, 7, 8, 10] и собственным результатам исследований [5, 9] на современном этапе</w:t>
      </w:r>
      <w:r w:rsidRPr="007713BB">
        <w:rPr>
          <w:b/>
          <w:sz w:val="20"/>
          <w:szCs w:val="20"/>
        </w:rPr>
        <w:t xml:space="preserve"> </w:t>
      </w:r>
      <w:r w:rsidRPr="007713BB">
        <w:rPr>
          <w:sz w:val="20"/>
          <w:szCs w:val="20"/>
        </w:rPr>
        <w:t>развития молочного скотоводства основной пр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блемой является рождение телят с признаками антенатального недоразвития (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>). Исх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дя из этого, важным научным направлением в ветеринарной морфологии является исследование ультраструктурных особенностей организации многокамерного желудку новорожденных т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лят с разной степенью физиологической зрелости, что приблизит нас к пониманию механизмов развития ко</w:t>
      </w:r>
      <w:r w:rsidRPr="007713BB">
        <w:rPr>
          <w:sz w:val="20"/>
          <w:szCs w:val="20"/>
        </w:rPr>
        <w:t>м</w:t>
      </w:r>
      <w:r w:rsidRPr="007713BB">
        <w:rPr>
          <w:sz w:val="20"/>
          <w:szCs w:val="20"/>
        </w:rPr>
        <w:t>пенсаторно-приспособительных реакций у животных данной категории и даст возможность корректировать их течение [3, 4, 5, 11]. Исследования ряда авторов показывают, что степень тяжести протекания адаптационных процессов в органах пищеварения новоро</w:t>
      </w:r>
      <w:r>
        <w:rPr>
          <w:sz w:val="20"/>
          <w:szCs w:val="20"/>
        </w:rPr>
        <w:t>жденных телят</w:t>
      </w:r>
      <w:r w:rsidRPr="007713BB">
        <w:rPr>
          <w:sz w:val="20"/>
          <w:szCs w:val="20"/>
        </w:rPr>
        <w:t xml:space="preserve"> напрямую зависит от их морфофункциональной зрел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сти телят [2, 5, 9, 11, 12].</w:t>
      </w:r>
    </w:p>
    <w:p w:rsidR="007D1BB6" w:rsidRPr="007713BB" w:rsidRDefault="007D1BB6" w:rsidP="007D1BB6">
      <w:pPr>
        <w:ind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>У новорожденных телят с признаками антенатального недоразвития органы пищеварения характеризуются значительной незрелостью цитологических</w:t>
      </w:r>
      <w:r>
        <w:t xml:space="preserve"> </w:t>
      </w:r>
      <w:r w:rsidRPr="007713BB">
        <w:rPr>
          <w:sz w:val="20"/>
          <w:szCs w:val="20"/>
        </w:rPr>
        <w:t>и железистых структур, т.е. незавершенностью дифф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ренциации [2, 11, 12]. В связи с этим структура слизистой оболочки новорожденных животных во многом со</w:t>
      </w:r>
      <w:r w:rsidRPr="007713BB">
        <w:rPr>
          <w:sz w:val="20"/>
          <w:szCs w:val="20"/>
        </w:rPr>
        <w:t>в</w:t>
      </w:r>
      <w:r w:rsidRPr="007713BB">
        <w:rPr>
          <w:sz w:val="20"/>
          <w:szCs w:val="20"/>
        </w:rPr>
        <w:t>падает с таковой у плодов позднего внутриутробного периода развития [3, 4]. Незавершенная дифференциация и зрелость тканевых компонентов приводит к расстройству функционирования орг</w:t>
      </w:r>
      <w:r w:rsidRPr="007713BB">
        <w:rPr>
          <w:sz w:val="20"/>
          <w:szCs w:val="20"/>
        </w:rPr>
        <w:t>а</w:t>
      </w:r>
      <w:r w:rsidRPr="007713BB">
        <w:rPr>
          <w:sz w:val="20"/>
          <w:szCs w:val="20"/>
        </w:rPr>
        <w:t>нов пищеварения и, как следствие</w:t>
      </w:r>
      <w:r>
        <w:rPr>
          <w:sz w:val="20"/>
          <w:szCs w:val="20"/>
        </w:rPr>
        <w:t>,</w:t>
      </w:r>
      <w:r w:rsidRPr="007713BB">
        <w:rPr>
          <w:sz w:val="20"/>
          <w:szCs w:val="20"/>
        </w:rPr>
        <w:t xml:space="preserve"> к высокой заболеваемости и сниж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 xml:space="preserve">нию сохранности [1, 6, 7, 9, 10, 12]. 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 xml:space="preserve">Вместе с тем, как отмечают </w:t>
      </w:r>
      <w:r w:rsidRPr="007713BB">
        <w:rPr>
          <w:sz w:val="20"/>
          <w:szCs w:val="20"/>
          <w:lang w:val="en-US"/>
        </w:rPr>
        <w:t>M</w:t>
      </w:r>
      <w:r w:rsidRPr="007713BB">
        <w:rPr>
          <w:sz w:val="20"/>
          <w:szCs w:val="20"/>
        </w:rPr>
        <w:t>.</w:t>
      </w:r>
      <w:proofErr w:type="spellStart"/>
      <w:r w:rsidRPr="007713BB">
        <w:rPr>
          <w:sz w:val="20"/>
          <w:szCs w:val="20"/>
          <w:lang w:val="en-US"/>
        </w:rPr>
        <w:t>Asari</w:t>
      </w:r>
      <w:proofErr w:type="spellEnd"/>
      <w:r w:rsidRPr="007713BB">
        <w:rPr>
          <w:sz w:val="20"/>
          <w:szCs w:val="20"/>
        </w:rPr>
        <w:t xml:space="preserve"> </w:t>
      </w:r>
      <w:r w:rsidRPr="007713BB">
        <w:rPr>
          <w:sz w:val="20"/>
          <w:szCs w:val="20"/>
          <w:lang w:val="en-US"/>
        </w:rPr>
        <w:t>et</w:t>
      </w:r>
      <w:r w:rsidRPr="007713BB">
        <w:rPr>
          <w:sz w:val="20"/>
          <w:szCs w:val="20"/>
        </w:rPr>
        <w:t xml:space="preserve"> </w:t>
      </w:r>
      <w:r w:rsidRPr="007713BB">
        <w:rPr>
          <w:sz w:val="20"/>
          <w:szCs w:val="20"/>
          <w:lang w:val="en-US"/>
        </w:rPr>
        <w:t>al</w:t>
      </w:r>
      <w:r w:rsidRPr="007713BB">
        <w:rPr>
          <w:sz w:val="20"/>
          <w:szCs w:val="20"/>
        </w:rPr>
        <w:t>., 1984 [13], дифференц</w:t>
      </w:r>
      <w:r w:rsidRPr="007713BB">
        <w:rPr>
          <w:sz w:val="20"/>
          <w:szCs w:val="20"/>
        </w:rPr>
        <w:t>и</w:t>
      </w:r>
      <w:r w:rsidRPr="007713BB">
        <w:rPr>
          <w:sz w:val="20"/>
          <w:szCs w:val="20"/>
        </w:rPr>
        <w:t>ровка клеток слизистой оболочки сычуга полностью заканчивается на 8 месяце стельности. Ультраструктурная характеристика эпителия сл</w:t>
      </w:r>
      <w:r w:rsidRPr="007713BB">
        <w:rPr>
          <w:sz w:val="20"/>
          <w:szCs w:val="20"/>
        </w:rPr>
        <w:t>и</w:t>
      </w:r>
      <w:r w:rsidRPr="007713BB">
        <w:rPr>
          <w:sz w:val="20"/>
          <w:szCs w:val="20"/>
        </w:rPr>
        <w:t>зистой оболочки сычуга новорожденных телят с различной степенью антенатального недоразвития практически не изучена. Данные, имеющиеся по этому вопросу, единичны, неполны, противоречивы и не д</w:t>
      </w:r>
      <w:r w:rsidRPr="007713BB">
        <w:rPr>
          <w:sz w:val="20"/>
          <w:szCs w:val="20"/>
        </w:rPr>
        <w:t>а</w:t>
      </w:r>
      <w:r w:rsidRPr="007713BB">
        <w:rPr>
          <w:sz w:val="20"/>
          <w:szCs w:val="20"/>
        </w:rPr>
        <w:t>ют общего представления о важной биологической пробл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 xml:space="preserve">ме. 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b/>
          <w:sz w:val="20"/>
          <w:szCs w:val="20"/>
        </w:rPr>
        <w:t>Цель работы</w:t>
      </w:r>
      <w:r w:rsidRPr="007713BB">
        <w:rPr>
          <w:sz w:val="20"/>
          <w:szCs w:val="20"/>
        </w:rPr>
        <w:t xml:space="preserve"> – выяснить особенности ультраструктурной орган</w:t>
      </w:r>
      <w:r w:rsidRPr="007713BB">
        <w:rPr>
          <w:sz w:val="20"/>
          <w:szCs w:val="20"/>
        </w:rPr>
        <w:t>и</w:t>
      </w:r>
      <w:r w:rsidRPr="007713BB">
        <w:rPr>
          <w:sz w:val="20"/>
          <w:szCs w:val="20"/>
        </w:rPr>
        <w:t xml:space="preserve">зации </w:t>
      </w:r>
      <w:proofErr w:type="spellStart"/>
      <w:r w:rsidRPr="007713BB">
        <w:rPr>
          <w:sz w:val="20"/>
          <w:szCs w:val="20"/>
        </w:rPr>
        <w:t>эпителиоцитов</w:t>
      </w:r>
      <w:proofErr w:type="spellEnd"/>
      <w:r w:rsidRPr="007713BB">
        <w:rPr>
          <w:sz w:val="20"/>
          <w:szCs w:val="20"/>
        </w:rPr>
        <w:t xml:space="preserve"> слизистой оболочки сычуга телят с разной степ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нью физиологической зрелости при рождении.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b/>
          <w:sz w:val="20"/>
          <w:szCs w:val="20"/>
        </w:rPr>
        <w:t>Материал и методика исследований.</w:t>
      </w:r>
      <w:r w:rsidRPr="007713BB">
        <w:rPr>
          <w:sz w:val="20"/>
          <w:szCs w:val="20"/>
        </w:rPr>
        <w:t xml:space="preserve"> Научные исследования по решению поставленной задачи осуществлялись в 2006 – </w:t>
      </w:r>
      <w:smartTag w:uri="urn:schemas-microsoft-com:office:smarttags" w:element="metricconverter">
        <w:smartTagPr>
          <w:attr w:name="ProductID" w:val="2009 г"/>
        </w:smartTagPr>
        <w:r w:rsidRPr="007713BB">
          <w:rPr>
            <w:sz w:val="20"/>
            <w:szCs w:val="20"/>
          </w:rPr>
          <w:t>2009 г</w:t>
        </w:r>
      </w:smartTag>
      <w:r w:rsidRPr="007713BB">
        <w:rPr>
          <w:sz w:val="20"/>
          <w:szCs w:val="20"/>
        </w:rPr>
        <w:t>. в усл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виях СПК «</w:t>
      </w:r>
      <w:proofErr w:type="spellStart"/>
      <w:r w:rsidRPr="007713BB">
        <w:rPr>
          <w:sz w:val="20"/>
          <w:szCs w:val="20"/>
        </w:rPr>
        <w:t>Демброво</w:t>
      </w:r>
      <w:proofErr w:type="spellEnd"/>
      <w:r w:rsidRPr="007713BB">
        <w:rPr>
          <w:sz w:val="20"/>
          <w:szCs w:val="20"/>
        </w:rPr>
        <w:t xml:space="preserve">» </w:t>
      </w:r>
      <w:proofErr w:type="spellStart"/>
      <w:r w:rsidRPr="007713BB">
        <w:rPr>
          <w:sz w:val="20"/>
          <w:szCs w:val="20"/>
        </w:rPr>
        <w:t>Щучинского</w:t>
      </w:r>
      <w:proofErr w:type="spellEnd"/>
      <w:r w:rsidRPr="007713BB">
        <w:rPr>
          <w:sz w:val="20"/>
          <w:szCs w:val="20"/>
        </w:rPr>
        <w:t xml:space="preserve"> района Гродненской области, НИЛ УО «ГГАУ», </w:t>
      </w:r>
      <w:r>
        <w:rPr>
          <w:sz w:val="20"/>
          <w:szCs w:val="20"/>
        </w:rPr>
        <w:t xml:space="preserve">на </w:t>
      </w:r>
      <w:r w:rsidRPr="007713BB">
        <w:rPr>
          <w:spacing w:val="-5"/>
          <w:sz w:val="20"/>
          <w:szCs w:val="20"/>
        </w:rPr>
        <w:t>кафедре анатомии животных УО «ГГАУ», РУП «Ин</w:t>
      </w:r>
      <w:r w:rsidRPr="007713BB">
        <w:rPr>
          <w:spacing w:val="-4"/>
          <w:sz w:val="20"/>
          <w:szCs w:val="20"/>
        </w:rPr>
        <w:t>ститут физиол</w:t>
      </w:r>
      <w:r w:rsidRPr="007713BB">
        <w:rPr>
          <w:spacing w:val="-4"/>
          <w:sz w:val="20"/>
          <w:szCs w:val="20"/>
        </w:rPr>
        <w:t>о</w:t>
      </w:r>
      <w:r w:rsidRPr="007713BB">
        <w:rPr>
          <w:spacing w:val="-4"/>
          <w:sz w:val="20"/>
          <w:szCs w:val="20"/>
        </w:rPr>
        <w:t>гии НАН Беларуси»</w:t>
      </w:r>
      <w:r w:rsidRPr="007713BB">
        <w:rPr>
          <w:spacing w:val="-6"/>
          <w:sz w:val="20"/>
          <w:szCs w:val="20"/>
        </w:rPr>
        <w:t>.</w:t>
      </w:r>
    </w:p>
    <w:p w:rsidR="007D1BB6" w:rsidRPr="007713BB" w:rsidRDefault="007D1BB6" w:rsidP="007D1BB6">
      <w:pPr>
        <w:ind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>Клинические исследования новорожденных телят проводили с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гласно общепринятому в ветеринарии плану [А.М.</w:t>
      </w:r>
      <w:r>
        <w:rPr>
          <w:sz w:val="20"/>
          <w:szCs w:val="20"/>
        </w:rPr>
        <w:t xml:space="preserve"> </w:t>
      </w:r>
      <w:r w:rsidRPr="007713BB">
        <w:rPr>
          <w:sz w:val="20"/>
          <w:szCs w:val="20"/>
        </w:rPr>
        <w:t>Смирнов и др., 1988], а также исходя из нами разр</w:t>
      </w:r>
      <w:r w:rsidRPr="007713BB">
        <w:rPr>
          <w:sz w:val="20"/>
          <w:szCs w:val="20"/>
        </w:rPr>
        <w:t>а</w:t>
      </w:r>
      <w:r w:rsidRPr="007713BB">
        <w:rPr>
          <w:sz w:val="20"/>
          <w:szCs w:val="20"/>
        </w:rPr>
        <w:t>ботанной методики определения морфофункциональной зрелости новорожденных телят [Г.А.</w:t>
      </w:r>
      <w:r>
        <w:rPr>
          <w:sz w:val="20"/>
          <w:szCs w:val="20"/>
        </w:rPr>
        <w:t xml:space="preserve"> </w:t>
      </w:r>
      <w:proofErr w:type="spellStart"/>
      <w:r w:rsidRPr="007713BB">
        <w:rPr>
          <w:sz w:val="20"/>
          <w:szCs w:val="20"/>
        </w:rPr>
        <w:t>Тумил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вич</w:t>
      </w:r>
      <w:proofErr w:type="spellEnd"/>
      <w:r w:rsidRPr="007713BB">
        <w:rPr>
          <w:sz w:val="20"/>
          <w:szCs w:val="20"/>
        </w:rPr>
        <w:t xml:space="preserve"> и др., 2008]. Данная методика в себя включает следующие критерии: живая масса при рождении; упитанность; поведе</w:t>
      </w:r>
      <w:r w:rsidRPr="007713BB">
        <w:rPr>
          <w:sz w:val="20"/>
          <w:szCs w:val="20"/>
        </w:rPr>
        <w:t>н</w:t>
      </w:r>
      <w:r w:rsidRPr="007713BB">
        <w:rPr>
          <w:sz w:val="20"/>
          <w:szCs w:val="20"/>
        </w:rPr>
        <w:t>ческий статус (время реализации позы стояния, время проявления сосательного ре</w:t>
      </w:r>
      <w:r w:rsidRPr="007713BB">
        <w:rPr>
          <w:sz w:val="20"/>
          <w:szCs w:val="20"/>
        </w:rPr>
        <w:t>ф</w:t>
      </w:r>
      <w:r w:rsidRPr="007713BB">
        <w:rPr>
          <w:sz w:val="20"/>
          <w:szCs w:val="20"/>
        </w:rPr>
        <w:t>лекса, количество сосательных движений, состояние мышечного тонуса, физиологические рефлексы, положение тела в пространстве); те</w:t>
      </w:r>
      <w:r w:rsidRPr="007713BB">
        <w:rPr>
          <w:sz w:val="20"/>
          <w:szCs w:val="20"/>
        </w:rPr>
        <w:t>м</w:t>
      </w:r>
      <w:r w:rsidRPr="007713BB">
        <w:rPr>
          <w:sz w:val="20"/>
          <w:szCs w:val="20"/>
        </w:rPr>
        <w:t>пература тела, состояние кожного покрова, количество резцовых зубов, гематологические и биохимические показатели, а также в методику входят некоторые зоотехнические показат</w:t>
      </w:r>
      <w:r w:rsidRPr="007713BB">
        <w:rPr>
          <w:sz w:val="20"/>
          <w:szCs w:val="20"/>
        </w:rPr>
        <w:t>е</w:t>
      </w:r>
      <w:r>
        <w:rPr>
          <w:sz w:val="20"/>
          <w:szCs w:val="20"/>
        </w:rPr>
        <w:t>ли</w:t>
      </w:r>
      <w:r w:rsidRPr="007713BB">
        <w:rPr>
          <w:sz w:val="20"/>
          <w:szCs w:val="20"/>
        </w:rPr>
        <w:t>: косая длина туловища, высота в холке, высота в крестце, обхват груди за лопатк</w:t>
      </w:r>
      <w:r w:rsidRPr="007713BB">
        <w:rPr>
          <w:sz w:val="20"/>
          <w:szCs w:val="20"/>
        </w:rPr>
        <w:t>а</w:t>
      </w:r>
      <w:r w:rsidRPr="007713BB">
        <w:rPr>
          <w:sz w:val="20"/>
          <w:szCs w:val="20"/>
        </w:rPr>
        <w:t xml:space="preserve">ми. 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>В оценке степени физиологической зрелости (антенатального нед</w:t>
      </w:r>
      <w:r w:rsidRPr="007713BB">
        <w:rPr>
          <w:sz w:val="20"/>
          <w:szCs w:val="20"/>
        </w:rPr>
        <w:t>о</w:t>
      </w:r>
      <w:r>
        <w:rPr>
          <w:sz w:val="20"/>
          <w:szCs w:val="20"/>
        </w:rPr>
        <w:t>развития) ранее и по сей день</w:t>
      </w:r>
      <w:r w:rsidRPr="007713BB">
        <w:rPr>
          <w:sz w:val="20"/>
          <w:szCs w:val="20"/>
        </w:rPr>
        <w:t xml:space="preserve"> важнейшим критерием является живая масса теленка при рождении [Д.А.Саврасов, 2003, </w:t>
      </w:r>
      <w:proofErr w:type="spellStart"/>
      <w:r w:rsidRPr="007713BB">
        <w:rPr>
          <w:sz w:val="20"/>
          <w:szCs w:val="20"/>
        </w:rPr>
        <w:t>А.А.Катаранов</w:t>
      </w:r>
      <w:proofErr w:type="spellEnd"/>
      <w:r w:rsidRPr="007713BB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5, М"/>
        </w:smartTagPr>
        <w:r w:rsidRPr="007713BB">
          <w:rPr>
            <w:sz w:val="20"/>
            <w:szCs w:val="20"/>
          </w:rPr>
          <w:t xml:space="preserve">2005, </w:t>
        </w:r>
        <w:proofErr w:type="spellStart"/>
        <w:r w:rsidRPr="007713BB">
          <w:rPr>
            <w:sz w:val="20"/>
            <w:szCs w:val="20"/>
          </w:rPr>
          <w:t>М</w:t>
        </w:r>
      </w:smartTag>
      <w:r w:rsidRPr="007713BB">
        <w:rPr>
          <w:sz w:val="20"/>
          <w:szCs w:val="20"/>
        </w:rPr>
        <w:t>.А.Каврус</w:t>
      </w:r>
      <w:proofErr w:type="spellEnd"/>
      <w:r w:rsidRPr="007713BB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8, Г"/>
        </w:smartTagPr>
        <w:r w:rsidRPr="007713BB">
          <w:rPr>
            <w:sz w:val="20"/>
            <w:szCs w:val="20"/>
          </w:rPr>
          <w:t xml:space="preserve">2008, </w:t>
        </w:r>
        <w:proofErr w:type="spellStart"/>
        <w:r w:rsidRPr="007713BB">
          <w:rPr>
            <w:sz w:val="20"/>
            <w:szCs w:val="20"/>
          </w:rPr>
          <w:t>Г</w:t>
        </w:r>
      </w:smartTag>
      <w:r w:rsidRPr="007713BB">
        <w:rPr>
          <w:sz w:val="20"/>
          <w:szCs w:val="20"/>
        </w:rPr>
        <w:t>.А.Тумилович</w:t>
      </w:r>
      <w:proofErr w:type="spellEnd"/>
      <w:r w:rsidRPr="007713BB">
        <w:rPr>
          <w:sz w:val="20"/>
          <w:szCs w:val="20"/>
        </w:rPr>
        <w:t xml:space="preserve">, 2008; 2009]. </w:t>
      </w:r>
      <w:proofErr w:type="gramStart"/>
      <w:r w:rsidRPr="007713BB">
        <w:rPr>
          <w:sz w:val="20"/>
          <w:szCs w:val="20"/>
        </w:rPr>
        <w:t>Исходя из этого, нов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 xml:space="preserve">рожденные телята в зависимости от живой массы были разделены на четыре группы: </w:t>
      </w:r>
      <w:proofErr w:type="spellStart"/>
      <w:r w:rsidRPr="007713BB">
        <w:rPr>
          <w:sz w:val="20"/>
          <w:szCs w:val="20"/>
        </w:rPr>
        <w:t>телята-нормотрофики</w:t>
      </w:r>
      <w:proofErr w:type="spellEnd"/>
      <w:r w:rsidRPr="007713BB">
        <w:rPr>
          <w:sz w:val="20"/>
          <w:szCs w:val="20"/>
        </w:rPr>
        <w:t xml:space="preserve"> – живая масса свыше </w:t>
      </w:r>
      <w:smartTag w:uri="urn:schemas-microsoft-com:office:smarttags" w:element="metricconverter">
        <w:smartTagPr>
          <w:attr w:name="ProductID" w:val="37 кг"/>
        </w:smartTagPr>
        <w:r w:rsidRPr="007713BB">
          <w:rPr>
            <w:sz w:val="20"/>
            <w:szCs w:val="20"/>
          </w:rPr>
          <w:t>37 кг</w:t>
        </w:r>
      </w:smartTag>
      <w:r w:rsidRPr="007713BB">
        <w:rPr>
          <w:sz w:val="20"/>
          <w:szCs w:val="20"/>
        </w:rPr>
        <w:t xml:space="preserve">; </w:t>
      </w:r>
      <w:proofErr w:type="spellStart"/>
      <w:r w:rsidRPr="007713BB">
        <w:rPr>
          <w:sz w:val="20"/>
          <w:szCs w:val="20"/>
        </w:rPr>
        <w:t>телята-гипотрофики</w:t>
      </w:r>
      <w:proofErr w:type="spellEnd"/>
      <w:r w:rsidRPr="007713BB">
        <w:rPr>
          <w:sz w:val="20"/>
          <w:szCs w:val="20"/>
        </w:rPr>
        <w:t xml:space="preserve"> с низкой степенью антенатального недоразвития – живая масса 28-</w:t>
      </w:r>
      <w:smartTag w:uri="urn:schemas-microsoft-com:office:smarttags" w:element="metricconverter">
        <w:smartTagPr>
          <w:attr w:name="ProductID" w:val="37 кг"/>
        </w:smartTagPr>
        <w:r w:rsidRPr="007713BB">
          <w:rPr>
            <w:sz w:val="20"/>
            <w:szCs w:val="20"/>
          </w:rPr>
          <w:t>37 кг</w:t>
        </w:r>
      </w:smartTag>
      <w:r w:rsidRPr="007713BB">
        <w:rPr>
          <w:sz w:val="20"/>
          <w:szCs w:val="20"/>
        </w:rPr>
        <w:t xml:space="preserve">, </w:t>
      </w:r>
      <w:proofErr w:type="spellStart"/>
      <w:r w:rsidRPr="007713BB">
        <w:rPr>
          <w:sz w:val="20"/>
          <w:szCs w:val="20"/>
        </w:rPr>
        <w:t>телята-гипотрофики</w:t>
      </w:r>
      <w:proofErr w:type="spellEnd"/>
      <w:r w:rsidRPr="007713BB">
        <w:rPr>
          <w:sz w:val="20"/>
          <w:szCs w:val="20"/>
        </w:rPr>
        <w:t xml:space="preserve"> со средней степенью ант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натального недоразвития – живая масса 22-</w:t>
      </w:r>
      <w:smartTag w:uri="urn:schemas-microsoft-com:office:smarttags" w:element="metricconverter">
        <w:smartTagPr>
          <w:attr w:name="ProductID" w:val="27 кг"/>
        </w:smartTagPr>
        <w:r w:rsidRPr="007713BB">
          <w:rPr>
            <w:sz w:val="20"/>
            <w:szCs w:val="20"/>
          </w:rPr>
          <w:t>27 кг</w:t>
        </w:r>
      </w:smartTag>
      <w:r w:rsidRPr="007713BB">
        <w:rPr>
          <w:sz w:val="20"/>
          <w:szCs w:val="20"/>
        </w:rPr>
        <w:t xml:space="preserve">, </w:t>
      </w:r>
      <w:proofErr w:type="spellStart"/>
      <w:r w:rsidRPr="007713BB">
        <w:rPr>
          <w:sz w:val="20"/>
          <w:szCs w:val="20"/>
        </w:rPr>
        <w:t>телята-гипотрофики</w:t>
      </w:r>
      <w:proofErr w:type="spellEnd"/>
      <w:r w:rsidRPr="007713BB">
        <w:rPr>
          <w:sz w:val="20"/>
          <w:szCs w:val="20"/>
        </w:rPr>
        <w:t xml:space="preserve"> с высокой степенью антенатального недоразвития – живая масса 18-</w:t>
      </w:r>
      <w:smartTag w:uri="urn:schemas-microsoft-com:office:smarttags" w:element="metricconverter">
        <w:smartTagPr>
          <w:attr w:name="ProductID" w:val="21 кг"/>
        </w:smartTagPr>
        <w:r w:rsidRPr="007713BB">
          <w:rPr>
            <w:sz w:val="20"/>
            <w:szCs w:val="20"/>
          </w:rPr>
          <w:t>21 кг</w:t>
        </w:r>
      </w:smartTag>
      <w:r w:rsidRPr="007713BB">
        <w:rPr>
          <w:sz w:val="20"/>
          <w:szCs w:val="20"/>
        </w:rPr>
        <w:t>.</w:t>
      </w:r>
      <w:proofErr w:type="gramEnd"/>
      <w:r w:rsidRPr="007713BB">
        <w:rPr>
          <w:sz w:val="20"/>
          <w:szCs w:val="20"/>
        </w:rPr>
        <w:t xml:space="preserve"> У 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 xml:space="preserve"> со средней степенью антенатального нед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 xml:space="preserve">развития дефицит живой массы при рождении составлял 25-35%, а у 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 xml:space="preserve"> с высокой степенью антенатального недоразвития – 40-50% по отношению к живой массе новоро</w:t>
      </w:r>
      <w:r w:rsidRPr="007713BB">
        <w:rPr>
          <w:sz w:val="20"/>
          <w:szCs w:val="20"/>
        </w:rPr>
        <w:t>ж</w:t>
      </w:r>
      <w:r w:rsidRPr="007713BB">
        <w:rPr>
          <w:sz w:val="20"/>
          <w:szCs w:val="20"/>
        </w:rPr>
        <w:t xml:space="preserve">денных </w:t>
      </w:r>
      <w:proofErr w:type="spellStart"/>
      <w:r w:rsidRPr="007713BB">
        <w:rPr>
          <w:sz w:val="20"/>
          <w:szCs w:val="20"/>
        </w:rPr>
        <w:t>телят-нормотрофиков</w:t>
      </w:r>
      <w:proofErr w:type="spellEnd"/>
      <w:r w:rsidRPr="007713BB">
        <w:rPr>
          <w:sz w:val="20"/>
          <w:szCs w:val="20"/>
        </w:rPr>
        <w:t xml:space="preserve">. 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>Для электронно-микроскопического исследования брали соответс</w:t>
      </w:r>
      <w:r w:rsidRPr="007713BB">
        <w:rPr>
          <w:sz w:val="20"/>
          <w:szCs w:val="20"/>
        </w:rPr>
        <w:t>т</w:t>
      </w:r>
      <w:r w:rsidRPr="007713BB">
        <w:rPr>
          <w:sz w:val="20"/>
          <w:szCs w:val="20"/>
        </w:rPr>
        <w:t>вующие участки сычуга около 3-</w:t>
      </w:r>
      <w:smartTag w:uri="urn:schemas-microsoft-com:office:smarttags" w:element="metricconverter">
        <w:smartTagPr>
          <w:attr w:name="ProductID" w:val="6 см"/>
        </w:smartTagPr>
        <w:r w:rsidRPr="007713BB">
          <w:rPr>
            <w:sz w:val="20"/>
            <w:szCs w:val="20"/>
          </w:rPr>
          <w:t>6 см</w:t>
        </w:r>
      </w:smartTag>
      <w:r w:rsidRPr="007713BB">
        <w:rPr>
          <w:sz w:val="20"/>
          <w:szCs w:val="20"/>
        </w:rPr>
        <w:t xml:space="preserve">, которые были </w:t>
      </w:r>
      <w:proofErr w:type="spellStart"/>
      <w:r w:rsidRPr="007713BB">
        <w:rPr>
          <w:sz w:val="20"/>
          <w:szCs w:val="20"/>
        </w:rPr>
        <w:t>лигированы</w:t>
      </w:r>
      <w:proofErr w:type="spellEnd"/>
      <w:r w:rsidRPr="007713BB">
        <w:rPr>
          <w:sz w:val="20"/>
          <w:szCs w:val="20"/>
        </w:rPr>
        <w:t xml:space="preserve">, и </w:t>
      </w:r>
      <w:proofErr w:type="spellStart"/>
      <w:r w:rsidRPr="007713BB">
        <w:rPr>
          <w:sz w:val="20"/>
          <w:szCs w:val="20"/>
        </w:rPr>
        <w:t>внутрилюминально</w:t>
      </w:r>
      <w:proofErr w:type="spellEnd"/>
      <w:r w:rsidRPr="007713BB">
        <w:rPr>
          <w:sz w:val="20"/>
          <w:szCs w:val="20"/>
        </w:rPr>
        <w:t xml:space="preserve"> вводился методом диффузии 2%-ый раствор </w:t>
      </w:r>
      <w:proofErr w:type="spellStart"/>
      <w:r w:rsidRPr="007713BB">
        <w:rPr>
          <w:sz w:val="20"/>
          <w:szCs w:val="20"/>
        </w:rPr>
        <w:t>гл</w:t>
      </w:r>
      <w:r w:rsidRPr="007713BB">
        <w:rPr>
          <w:sz w:val="20"/>
          <w:szCs w:val="20"/>
        </w:rPr>
        <w:t>ю</w:t>
      </w:r>
      <w:r w:rsidRPr="007713BB">
        <w:rPr>
          <w:sz w:val="20"/>
          <w:szCs w:val="20"/>
        </w:rPr>
        <w:t>тарового</w:t>
      </w:r>
      <w:proofErr w:type="spellEnd"/>
      <w:r w:rsidRPr="007713BB">
        <w:rPr>
          <w:sz w:val="20"/>
          <w:szCs w:val="20"/>
        </w:rPr>
        <w:t xml:space="preserve"> альдегида. В последующем ткани помещали в 5%-ый раствор </w:t>
      </w:r>
      <w:proofErr w:type="spellStart"/>
      <w:r w:rsidRPr="007713BB">
        <w:rPr>
          <w:sz w:val="20"/>
          <w:szCs w:val="20"/>
        </w:rPr>
        <w:t>глютарового</w:t>
      </w:r>
      <w:proofErr w:type="spellEnd"/>
      <w:r w:rsidRPr="007713BB">
        <w:rPr>
          <w:sz w:val="20"/>
          <w:szCs w:val="20"/>
        </w:rPr>
        <w:t xml:space="preserve"> ал</w:t>
      </w:r>
      <w:r w:rsidRPr="007713BB">
        <w:rPr>
          <w:sz w:val="20"/>
          <w:szCs w:val="20"/>
        </w:rPr>
        <w:t>ь</w:t>
      </w:r>
      <w:r w:rsidRPr="007713BB">
        <w:rPr>
          <w:sz w:val="20"/>
          <w:szCs w:val="20"/>
        </w:rPr>
        <w:t xml:space="preserve">дегида на 2 часа. </w:t>
      </w:r>
      <w:proofErr w:type="spellStart"/>
      <w:r w:rsidRPr="007713BB">
        <w:rPr>
          <w:sz w:val="20"/>
          <w:szCs w:val="20"/>
        </w:rPr>
        <w:t>Глютаровый</w:t>
      </w:r>
      <w:proofErr w:type="spellEnd"/>
      <w:r w:rsidRPr="007713BB">
        <w:rPr>
          <w:sz w:val="20"/>
          <w:szCs w:val="20"/>
        </w:rPr>
        <w:t xml:space="preserve"> альдегид готовился на 0,1М фосфатном буфере </w:t>
      </w:r>
      <w:proofErr w:type="spellStart"/>
      <w:r w:rsidRPr="007713BB">
        <w:rPr>
          <w:sz w:val="20"/>
          <w:szCs w:val="20"/>
        </w:rPr>
        <w:t>рН</w:t>
      </w:r>
      <w:proofErr w:type="spellEnd"/>
      <w:r w:rsidRPr="007713BB">
        <w:rPr>
          <w:sz w:val="20"/>
          <w:szCs w:val="20"/>
        </w:rPr>
        <w:t xml:space="preserve"> 7,2-7,4 и фиксировали при </w:t>
      </w:r>
      <w:r w:rsidRPr="007713BB">
        <w:rPr>
          <w:sz w:val="20"/>
          <w:szCs w:val="20"/>
          <w:lang w:val="en-US"/>
        </w:rPr>
        <w:t>t</w:t>
      </w:r>
      <w:r w:rsidRPr="007713BB">
        <w:rPr>
          <w:sz w:val="20"/>
          <w:szCs w:val="20"/>
        </w:rPr>
        <w:t>+4°</w:t>
      </w:r>
      <w:proofErr w:type="gramStart"/>
      <w:r w:rsidRPr="007713BB">
        <w:rPr>
          <w:sz w:val="20"/>
          <w:szCs w:val="20"/>
        </w:rPr>
        <w:t>С.</w:t>
      </w:r>
      <w:proofErr w:type="gramEnd"/>
      <w:r w:rsidRPr="007713BB">
        <w:rPr>
          <w:sz w:val="20"/>
          <w:szCs w:val="20"/>
        </w:rPr>
        <w:t xml:space="preserve"> Затем делали </w:t>
      </w:r>
      <w:r w:rsidRPr="007713BB">
        <w:rPr>
          <w:sz w:val="20"/>
          <w:szCs w:val="20"/>
        </w:rPr>
        <w:lastRenderedPageBreak/>
        <w:t>вертикальные разрезы по отношению к оси камеры желудка и изготовляли кубики с длиной края 1-</w:t>
      </w:r>
      <w:smartTag w:uri="urn:schemas-microsoft-com:office:smarttags" w:element="metricconverter">
        <w:smartTagPr>
          <w:attr w:name="ProductID" w:val="1,5 см"/>
        </w:smartTagPr>
        <w:r w:rsidRPr="007713BB">
          <w:rPr>
            <w:sz w:val="20"/>
            <w:szCs w:val="20"/>
          </w:rPr>
          <w:t>1,5 см</w:t>
        </w:r>
      </w:smartTag>
      <w:r w:rsidRPr="007713BB">
        <w:rPr>
          <w:sz w:val="20"/>
          <w:szCs w:val="20"/>
        </w:rPr>
        <w:t>. После 3-кратной промывки в 0,1М фосфатном б</w:t>
      </w:r>
      <w:r w:rsidRPr="007713BB">
        <w:rPr>
          <w:sz w:val="20"/>
          <w:szCs w:val="20"/>
        </w:rPr>
        <w:t>у</w:t>
      </w:r>
      <w:r>
        <w:rPr>
          <w:sz w:val="20"/>
          <w:szCs w:val="20"/>
        </w:rPr>
        <w:t>фере</w:t>
      </w:r>
      <w:r w:rsidRPr="007713BB">
        <w:rPr>
          <w:sz w:val="20"/>
          <w:szCs w:val="20"/>
        </w:rPr>
        <w:t xml:space="preserve"> материал обрабатывали 2%-ым раствором </w:t>
      </w:r>
      <w:proofErr w:type="spellStart"/>
      <w:r w:rsidRPr="007713BB">
        <w:rPr>
          <w:sz w:val="20"/>
          <w:szCs w:val="20"/>
        </w:rPr>
        <w:t>четырехокиси</w:t>
      </w:r>
      <w:proofErr w:type="spellEnd"/>
      <w:r w:rsidRPr="007713BB">
        <w:rPr>
          <w:sz w:val="20"/>
          <w:szCs w:val="20"/>
        </w:rPr>
        <w:t xml:space="preserve"> осмия, </w:t>
      </w:r>
      <w:proofErr w:type="spellStart"/>
      <w:r w:rsidRPr="007713BB">
        <w:rPr>
          <w:sz w:val="20"/>
          <w:szCs w:val="20"/>
        </w:rPr>
        <w:t>дегидрировали</w:t>
      </w:r>
      <w:proofErr w:type="spellEnd"/>
      <w:r w:rsidRPr="007713BB">
        <w:rPr>
          <w:sz w:val="20"/>
          <w:szCs w:val="20"/>
        </w:rPr>
        <w:t xml:space="preserve"> в спиртах, возрастающей конце</w:t>
      </w:r>
      <w:r w:rsidRPr="007713BB">
        <w:rPr>
          <w:sz w:val="20"/>
          <w:szCs w:val="20"/>
        </w:rPr>
        <w:t>н</w:t>
      </w:r>
      <w:r w:rsidRPr="007713BB">
        <w:rPr>
          <w:sz w:val="20"/>
          <w:szCs w:val="20"/>
        </w:rPr>
        <w:t xml:space="preserve">трации, контрастировали </w:t>
      </w:r>
      <w:proofErr w:type="spellStart"/>
      <w:r w:rsidRPr="007713BB">
        <w:rPr>
          <w:sz w:val="20"/>
          <w:szCs w:val="20"/>
        </w:rPr>
        <w:t>уранил</w:t>
      </w:r>
      <w:proofErr w:type="spellEnd"/>
      <w:r w:rsidRPr="007713BB">
        <w:rPr>
          <w:sz w:val="20"/>
          <w:szCs w:val="20"/>
        </w:rPr>
        <w:t xml:space="preserve"> ацетатом и заключали в </w:t>
      </w:r>
      <w:proofErr w:type="spellStart"/>
      <w:r w:rsidRPr="007713BB">
        <w:rPr>
          <w:sz w:val="20"/>
          <w:szCs w:val="20"/>
        </w:rPr>
        <w:t>аралдит</w:t>
      </w:r>
      <w:proofErr w:type="spellEnd"/>
      <w:r w:rsidRPr="007713BB">
        <w:rPr>
          <w:sz w:val="20"/>
          <w:szCs w:val="20"/>
        </w:rPr>
        <w:t>. Срезы готовили на ультрамикротоме ЛКБ (Швеция), контрастировали ци</w:t>
      </w:r>
      <w:r w:rsidRPr="007713BB">
        <w:rPr>
          <w:sz w:val="20"/>
          <w:szCs w:val="20"/>
        </w:rPr>
        <w:t>т</w:t>
      </w:r>
      <w:r w:rsidRPr="007713BB">
        <w:rPr>
          <w:sz w:val="20"/>
          <w:szCs w:val="20"/>
        </w:rPr>
        <w:t xml:space="preserve">ратом свинца и просматривали под микроскопом </w:t>
      </w:r>
      <w:proofErr w:type="gramStart"/>
      <w:r w:rsidRPr="007713BB">
        <w:rPr>
          <w:sz w:val="20"/>
          <w:szCs w:val="20"/>
          <w:lang w:val="en-US"/>
        </w:rPr>
        <w:t>J</w:t>
      </w:r>
      <w:proofErr w:type="gramEnd"/>
      <w:r w:rsidRPr="007713BB">
        <w:rPr>
          <w:sz w:val="20"/>
          <w:szCs w:val="20"/>
        </w:rPr>
        <w:t xml:space="preserve">ЕМ -100В и </w:t>
      </w:r>
      <w:r w:rsidRPr="007713BB">
        <w:rPr>
          <w:sz w:val="20"/>
          <w:szCs w:val="20"/>
          <w:lang w:val="en-US"/>
        </w:rPr>
        <w:t>JE</w:t>
      </w:r>
      <w:r w:rsidRPr="007713BB">
        <w:rPr>
          <w:sz w:val="20"/>
          <w:szCs w:val="20"/>
        </w:rPr>
        <w:t>М-100СХ «</w:t>
      </w:r>
      <w:r w:rsidRPr="007713BB">
        <w:rPr>
          <w:sz w:val="20"/>
          <w:szCs w:val="20"/>
          <w:lang w:val="en-US"/>
        </w:rPr>
        <w:t>JEOL</w:t>
      </w:r>
      <w:r w:rsidRPr="007713BB">
        <w:rPr>
          <w:sz w:val="20"/>
          <w:szCs w:val="20"/>
        </w:rPr>
        <w:t>» (Яп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ния).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b/>
          <w:sz w:val="20"/>
          <w:szCs w:val="20"/>
        </w:rPr>
        <w:t>Результаты исследований и их обсуждение.</w:t>
      </w:r>
      <w:r w:rsidRPr="007713BB">
        <w:rPr>
          <w:sz w:val="20"/>
          <w:szCs w:val="20"/>
        </w:rPr>
        <w:t xml:space="preserve"> Слизистая оболочка сычуга выстлана цилиндрическим эпителием. </w:t>
      </w:r>
      <w:proofErr w:type="spellStart"/>
      <w:r w:rsidRPr="007713BB">
        <w:rPr>
          <w:sz w:val="20"/>
          <w:szCs w:val="20"/>
        </w:rPr>
        <w:t>Надъядерная</w:t>
      </w:r>
      <w:proofErr w:type="spellEnd"/>
      <w:r w:rsidRPr="007713BB">
        <w:rPr>
          <w:sz w:val="20"/>
          <w:szCs w:val="20"/>
        </w:rPr>
        <w:t xml:space="preserve"> часть клеток выглядит более прозрачной. Помимо диффузной окраски апикал</w:t>
      </w:r>
      <w:r w:rsidRPr="007713BB">
        <w:rPr>
          <w:sz w:val="20"/>
          <w:szCs w:val="20"/>
        </w:rPr>
        <w:t>ь</w:t>
      </w:r>
      <w:r w:rsidRPr="007713BB">
        <w:rPr>
          <w:sz w:val="20"/>
          <w:szCs w:val="20"/>
        </w:rPr>
        <w:t xml:space="preserve">ной части клеток можно увидеть </w:t>
      </w:r>
      <w:proofErr w:type="spellStart"/>
      <w:r w:rsidRPr="007713BB">
        <w:rPr>
          <w:sz w:val="20"/>
          <w:szCs w:val="20"/>
        </w:rPr>
        <w:t>супр</w:t>
      </w:r>
      <w:proofErr w:type="gramStart"/>
      <w:r w:rsidRPr="007713BB">
        <w:rPr>
          <w:sz w:val="20"/>
          <w:szCs w:val="20"/>
        </w:rPr>
        <w:t>а</w:t>
      </w:r>
      <w:proofErr w:type="spellEnd"/>
      <w:r w:rsidRPr="007713BB">
        <w:rPr>
          <w:sz w:val="20"/>
          <w:szCs w:val="20"/>
        </w:rPr>
        <w:t>-</w:t>
      </w:r>
      <w:proofErr w:type="gramEnd"/>
      <w:r w:rsidRPr="007713BB">
        <w:rPr>
          <w:sz w:val="20"/>
          <w:szCs w:val="20"/>
        </w:rPr>
        <w:t xml:space="preserve"> и </w:t>
      </w:r>
      <w:proofErr w:type="spellStart"/>
      <w:r w:rsidRPr="007713BB">
        <w:rPr>
          <w:sz w:val="20"/>
          <w:szCs w:val="20"/>
        </w:rPr>
        <w:t>субнуклеарные</w:t>
      </w:r>
      <w:proofErr w:type="spellEnd"/>
      <w:r w:rsidRPr="007713BB">
        <w:rPr>
          <w:sz w:val="20"/>
          <w:szCs w:val="20"/>
        </w:rPr>
        <w:t xml:space="preserve"> гранулы. В</w:t>
      </w:r>
      <w:r w:rsidRPr="007713BB">
        <w:rPr>
          <w:sz w:val="20"/>
          <w:szCs w:val="20"/>
        </w:rPr>
        <w:t>ы</w:t>
      </w:r>
      <w:r w:rsidRPr="007713BB">
        <w:rPr>
          <w:sz w:val="20"/>
          <w:szCs w:val="20"/>
        </w:rPr>
        <w:t>сота эпителия глубоких отд</w:t>
      </w:r>
      <w:r>
        <w:rPr>
          <w:sz w:val="20"/>
          <w:szCs w:val="20"/>
        </w:rPr>
        <w:t>елов ямок меньше на 14,8 – 27,9</w:t>
      </w:r>
      <w:r w:rsidRPr="007713BB">
        <w:rPr>
          <w:sz w:val="20"/>
          <w:szCs w:val="20"/>
        </w:rPr>
        <w:t>% по сравнению с клетками поверхностных отд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 xml:space="preserve">лов ямок. </w:t>
      </w:r>
    </w:p>
    <w:p w:rsidR="007D1BB6" w:rsidRDefault="007D1BB6" w:rsidP="007D1BB6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>При электронно-микроскопическом</w:t>
      </w:r>
      <w:r>
        <w:rPr>
          <w:sz w:val="20"/>
          <w:szCs w:val="20"/>
        </w:rPr>
        <w:t xml:space="preserve"> исследовании поверхностного эпителия выявляются </w:t>
      </w:r>
      <w:proofErr w:type="spellStart"/>
      <w:r>
        <w:rPr>
          <w:sz w:val="20"/>
          <w:szCs w:val="20"/>
        </w:rPr>
        <w:t>микроворсинки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покрытые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гликокаликсом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Эп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телиоциты</w:t>
      </w:r>
      <w:proofErr w:type="spellEnd"/>
      <w:r>
        <w:rPr>
          <w:sz w:val="20"/>
          <w:szCs w:val="20"/>
        </w:rPr>
        <w:t xml:space="preserve"> – морфофункциональная поляризованная система, имеющая цилиндрическую форму, несколько расширенную в апикальной части, покрытую липопротеиновой плазматической мембраной. </w:t>
      </w:r>
      <w:proofErr w:type="gramStart"/>
      <w:r>
        <w:rPr>
          <w:sz w:val="20"/>
          <w:szCs w:val="20"/>
        </w:rPr>
        <w:t xml:space="preserve">Характерной особенностью </w:t>
      </w:r>
      <w:proofErr w:type="spellStart"/>
      <w:r>
        <w:rPr>
          <w:sz w:val="20"/>
          <w:szCs w:val="20"/>
        </w:rPr>
        <w:t>эпителиоцитов</w:t>
      </w:r>
      <w:proofErr w:type="spellEnd"/>
      <w:r>
        <w:rPr>
          <w:sz w:val="20"/>
          <w:szCs w:val="20"/>
        </w:rPr>
        <w:t xml:space="preserve"> является наличие щеточной каймы, образованной </w:t>
      </w:r>
      <w:proofErr w:type="spellStart"/>
      <w:r>
        <w:rPr>
          <w:sz w:val="20"/>
          <w:szCs w:val="20"/>
        </w:rPr>
        <w:t>микроворсинками</w:t>
      </w:r>
      <w:proofErr w:type="spellEnd"/>
      <w:r>
        <w:rPr>
          <w:sz w:val="20"/>
          <w:szCs w:val="20"/>
        </w:rPr>
        <w:t xml:space="preserve"> – плазматическими выростами, ограниче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ные мембраной.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Микроворсинки</w:t>
      </w:r>
      <w:proofErr w:type="spellEnd"/>
      <w:r>
        <w:rPr>
          <w:sz w:val="20"/>
          <w:szCs w:val="20"/>
        </w:rPr>
        <w:t xml:space="preserve"> являются динамичными структурами. Это показывают проведенные </w:t>
      </w:r>
      <w:proofErr w:type="spellStart"/>
      <w:r>
        <w:rPr>
          <w:sz w:val="20"/>
          <w:szCs w:val="20"/>
        </w:rPr>
        <w:t>стереологические</w:t>
      </w:r>
      <w:proofErr w:type="spellEnd"/>
      <w:r>
        <w:rPr>
          <w:sz w:val="20"/>
          <w:szCs w:val="20"/>
        </w:rPr>
        <w:t xml:space="preserve"> исследования </w:t>
      </w:r>
      <w:proofErr w:type="spellStart"/>
      <w:r>
        <w:rPr>
          <w:sz w:val="20"/>
          <w:szCs w:val="20"/>
        </w:rPr>
        <w:t>микроворсинок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эпителиоцитов</w:t>
      </w:r>
      <w:proofErr w:type="spellEnd"/>
      <w:r>
        <w:rPr>
          <w:sz w:val="20"/>
          <w:szCs w:val="20"/>
        </w:rPr>
        <w:t xml:space="preserve"> телят с разной степенью физиологич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ской зрелости при рождении. Динамика изменения </w:t>
      </w:r>
      <w:proofErr w:type="spellStart"/>
      <w:r>
        <w:rPr>
          <w:sz w:val="20"/>
          <w:szCs w:val="20"/>
        </w:rPr>
        <w:t>микроворсинок</w:t>
      </w:r>
      <w:proofErr w:type="spellEnd"/>
      <w:r>
        <w:rPr>
          <w:sz w:val="20"/>
          <w:szCs w:val="20"/>
        </w:rPr>
        <w:t xml:space="preserve"> представлена в таблице.</w:t>
      </w:r>
    </w:p>
    <w:p w:rsidR="007D1BB6" w:rsidRDefault="007D1BB6" w:rsidP="007D1BB6">
      <w:pPr>
        <w:pStyle w:val="3"/>
        <w:spacing w:after="0"/>
        <w:ind w:left="0" w:firstLine="284"/>
        <w:jc w:val="both"/>
        <w:rPr>
          <w:sz w:val="20"/>
        </w:rPr>
      </w:pPr>
      <w:r>
        <w:rPr>
          <w:sz w:val="20"/>
        </w:rPr>
        <w:t xml:space="preserve">Как показывают данные таблицы, количество </w:t>
      </w:r>
      <w:proofErr w:type="spellStart"/>
      <w:r>
        <w:rPr>
          <w:sz w:val="20"/>
        </w:rPr>
        <w:t>микроворсинок</w:t>
      </w:r>
      <w:proofErr w:type="spellEnd"/>
      <w:r>
        <w:rPr>
          <w:sz w:val="20"/>
        </w:rPr>
        <w:t xml:space="preserve"> на один </w:t>
      </w:r>
      <w:proofErr w:type="spellStart"/>
      <w:r>
        <w:rPr>
          <w:sz w:val="20"/>
        </w:rPr>
        <w:t>эпителиоцит</w:t>
      </w:r>
      <w:proofErr w:type="spellEnd"/>
      <w:r>
        <w:rPr>
          <w:sz w:val="20"/>
        </w:rPr>
        <w:t xml:space="preserve"> колеблется в зависимости от степени антенатального н</w:t>
      </w:r>
      <w:r>
        <w:rPr>
          <w:sz w:val="20"/>
        </w:rPr>
        <w:t>е</w:t>
      </w:r>
      <w:r>
        <w:rPr>
          <w:sz w:val="20"/>
        </w:rPr>
        <w:t xml:space="preserve">доразвития от 97,09±4,11 – у новорожденных </w:t>
      </w:r>
      <w:proofErr w:type="spellStart"/>
      <w:r>
        <w:rPr>
          <w:sz w:val="20"/>
        </w:rPr>
        <w:t>телят-гипотрофиков</w:t>
      </w:r>
      <w:proofErr w:type="spellEnd"/>
      <w:r>
        <w:rPr>
          <w:sz w:val="20"/>
        </w:rPr>
        <w:t xml:space="preserve"> с высокой степенью недоразвития и до 187,71±3,99 – у новорожденных </w:t>
      </w:r>
      <w:proofErr w:type="spellStart"/>
      <w:r>
        <w:rPr>
          <w:sz w:val="20"/>
        </w:rPr>
        <w:t>телят-нормотрофиков</w:t>
      </w:r>
      <w:proofErr w:type="spellEnd"/>
      <w:r>
        <w:rPr>
          <w:sz w:val="20"/>
        </w:rPr>
        <w:t xml:space="preserve">. Высота </w:t>
      </w:r>
      <w:proofErr w:type="spellStart"/>
      <w:r>
        <w:rPr>
          <w:sz w:val="20"/>
        </w:rPr>
        <w:t>микроворсинок</w:t>
      </w:r>
      <w:proofErr w:type="spellEnd"/>
      <w:r>
        <w:rPr>
          <w:sz w:val="20"/>
        </w:rPr>
        <w:t xml:space="preserve"> колеблется от 0,37±0,08 мкм до 0,63±0,05 мкм. Данный показатель характеризует всасыва</w:t>
      </w:r>
      <w:r>
        <w:rPr>
          <w:sz w:val="20"/>
        </w:rPr>
        <w:t>ю</w:t>
      </w:r>
      <w:r>
        <w:rPr>
          <w:sz w:val="20"/>
        </w:rPr>
        <w:t xml:space="preserve">щую площадь слизистой оболочки. Наибольшая высота </w:t>
      </w:r>
      <w:proofErr w:type="spellStart"/>
      <w:r>
        <w:rPr>
          <w:sz w:val="20"/>
        </w:rPr>
        <w:t>микроворс</w:t>
      </w:r>
      <w:r>
        <w:rPr>
          <w:sz w:val="20"/>
        </w:rPr>
        <w:t>и</w:t>
      </w:r>
      <w:r>
        <w:rPr>
          <w:sz w:val="20"/>
        </w:rPr>
        <w:t>нок</w:t>
      </w:r>
      <w:proofErr w:type="spellEnd"/>
      <w:r>
        <w:rPr>
          <w:sz w:val="20"/>
        </w:rPr>
        <w:t xml:space="preserve"> характерна для </w:t>
      </w:r>
      <w:proofErr w:type="spellStart"/>
      <w:r>
        <w:rPr>
          <w:sz w:val="20"/>
        </w:rPr>
        <w:t>телят-нормотрофиков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телят-гипотрофиков</w:t>
      </w:r>
      <w:proofErr w:type="spellEnd"/>
      <w:r>
        <w:rPr>
          <w:sz w:val="20"/>
        </w:rPr>
        <w:t xml:space="preserve"> с низкой степенью недора</w:t>
      </w:r>
      <w:r>
        <w:rPr>
          <w:sz w:val="20"/>
        </w:rPr>
        <w:t>з</w:t>
      </w:r>
      <w:r>
        <w:rPr>
          <w:sz w:val="20"/>
        </w:rPr>
        <w:t>вития.</w:t>
      </w:r>
    </w:p>
    <w:p w:rsidR="007D1BB6" w:rsidRDefault="007D1BB6" w:rsidP="007D1BB6">
      <w:pPr>
        <w:pStyle w:val="3"/>
        <w:spacing w:after="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Такой показатель, как толщина </w:t>
      </w:r>
      <w:proofErr w:type="spellStart"/>
      <w:r>
        <w:rPr>
          <w:sz w:val="20"/>
          <w:szCs w:val="20"/>
        </w:rPr>
        <w:t>микроворсинок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телят-гипотрофиков</w:t>
      </w:r>
      <w:proofErr w:type="spellEnd"/>
      <w:r>
        <w:rPr>
          <w:sz w:val="20"/>
          <w:szCs w:val="20"/>
        </w:rPr>
        <w:t xml:space="preserve"> с высокой степенью антенатального недоразвития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 0,17±0,06 мкм, что на 37,0% и 56,4% (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>&lt;0,05) меньше</w:t>
      </w:r>
      <w:r>
        <w:rPr>
          <w:sz w:val="20"/>
          <w:szCs w:val="20"/>
          <w:lang w:val="be-BY"/>
        </w:rPr>
        <w:t>,</w:t>
      </w:r>
      <w:r>
        <w:rPr>
          <w:sz w:val="20"/>
          <w:szCs w:val="20"/>
        </w:rPr>
        <w:t xml:space="preserve"> чем у </w:t>
      </w:r>
      <w:proofErr w:type="spellStart"/>
      <w:r>
        <w:rPr>
          <w:sz w:val="20"/>
          <w:szCs w:val="20"/>
        </w:rPr>
        <w:t>телят-гипотрофиков</w:t>
      </w:r>
      <w:proofErr w:type="spellEnd"/>
      <w:r>
        <w:rPr>
          <w:sz w:val="20"/>
          <w:szCs w:val="20"/>
        </w:rPr>
        <w:t xml:space="preserve"> со средней и низкой степенью недоразвития. На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более </w:t>
      </w:r>
      <w:proofErr w:type="gramStart"/>
      <w:r>
        <w:rPr>
          <w:sz w:val="20"/>
          <w:szCs w:val="20"/>
        </w:rPr>
        <w:t>гипертрофированные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микроворсинки</w:t>
      </w:r>
      <w:proofErr w:type="spellEnd"/>
      <w:r>
        <w:rPr>
          <w:sz w:val="20"/>
          <w:szCs w:val="20"/>
        </w:rPr>
        <w:t xml:space="preserve"> выявлены у новорожде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ных </w:t>
      </w:r>
      <w:proofErr w:type="spellStart"/>
      <w:r>
        <w:rPr>
          <w:sz w:val="20"/>
          <w:szCs w:val="20"/>
        </w:rPr>
        <w:t>телят-нормотрофиков</w:t>
      </w:r>
      <w:proofErr w:type="spellEnd"/>
      <w:r>
        <w:rPr>
          <w:sz w:val="20"/>
          <w:szCs w:val="20"/>
        </w:rPr>
        <w:t xml:space="preserve">. По нашему мнению, это свидетельствует об высоких адаптационных процессах </w:t>
      </w:r>
      <w:proofErr w:type="spellStart"/>
      <w:r>
        <w:rPr>
          <w:sz w:val="20"/>
          <w:szCs w:val="20"/>
        </w:rPr>
        <w:t>эпителиоцитов</w:t>
      </w:r>
      <w:proofErr w:type="spellEnd"/>
      <w:r>
        <w:rPr>
          <w:sz w:val="20"/>
          <w:szCs w:val="20"/>
        </w:rPr>
        <w:t xml:space="preserve">. </w:t>
      </w:r>
    </w:p>
    <w:p w:rsidR="007D1BB6" w:rsidRPr="007713BB" w:rsidRDefault="007D1BB6" w:rsidP="007D1BB6">
      <w:pPr>
        <w:pStyle w:val="3"/>
        <w:spacing w:after="60"/>
        <w:ind w:left="0" w:firstLine="284"/>
        <w:jc w:val="both"/>
        <w:rPr>
          <w:sz w:val="20"/>
          <w:szCs w:val="20"/>
        </w:rPr>
      </w:pPr>
      <w:r w:rsidRPr="007713BB">
        <w:rPr>
          <w:bCs/>
          <w:sz w:val="20"/>
          <w:szCs w:val="20"/>
        </w:rPr>
        <w:t xml:space="preserve">Таблица – </w:t>
      </w:r>
      <w:proofErr w:type="spellStart"/>
      <w:r w:rsidRPr="007713BB">
        <w:rPr>
          <w:sz w:val="20"/>
          <w:szCs w:val="20"/>
        </w:rPr>
        <w:t>Стереологические</w:t>
      </w:r>
      <w:proofErr w:type="spellEnd"/>
      <w:r w:rsidRPr="007713BB">
        <w:rPr>
          <w:sz w:val="20"/>
          <w:szCs w:val="20"/>
        </w:rPr>
        <w:t xml:space="preserve"> показатели </w:t>
      </w:r>
      <w:proofErr w:type="spellStart"/>
      <w:r w:rsidRPr="007713BB">
        <w:rPr>
          <w:sz w:val="20"/>
          <w:szCs w:val="20"/>
        </w:rPr>
        <w:t>микроворсинок</w:t>
      </w:r>
      <w:proofErr w:type="spellEnd"/>
      <w:r w:rsidRPr="007713BB">
        <w:rPr>
          <w:sz w:val="20"/>
          <w:szCs w:val="20"/>
        </w:rPr>
        <w:t xml:space="preserve"> покровн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го эпителия слизистой оболочки сычуга новорожденных телят с разной степ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нью антенатального недоразвития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1134"/>
        <w:gridCol w:w="1134"/>
        <w:gridCol w:w="1134"/>
      </w:tblGrid>
      <w:tr w:rsidR="007D1BB6" w:rsidTr="002E185D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0" w:type="dxa"/>
            <w:vMerge w:val="restart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gridSpan w:val="4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антенатального недоразвития</w:t>
            </w:r>
          </w:p>
        </w:tc>
      </w:tr>
      <w:tr w:rsidR="007D1BB6" w:rsidTr="002E185D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0" w:type="dxa"/>
            <w:vMerge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кая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няя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мотро-фики</w:t>
            </w:r>
            <w:proofErr w:type="spellEnd"/>
          </w:p>
        </w:tc>
      </w:tr>
      <w:tr w:rsidR="007D1BB6" w:rsidTr="002E185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микрово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синок</w:t>
            </w:r>
            <w:proofErr w:type="spellEnd"/>
          </w:p>
          <w:p w:rsidR="007D1BB6" w:rsidRDefault="007D1BB6" w:rsidP="002E185D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клетке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97,09±4,11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121,93±</w:t>
            </w:r>
          </w:p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5,67**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164,01±</w:t>
            </w:r>
          </w:p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3,81***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187,71±</w:t>
            </w:r>
          </w:p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3,99***</w:t>
            </w:r>
          </w:p>
        </w:tc>
      </w:tr>
      <w:tr w:rsidR="007D1BB6" w:rsidTr="002E185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proofErr w:type="spellStart"/>
            <w:r>
              <w:rPr>
                <w:sz w:val="20"/>
                <w:szCs w:val="20"/>
              </w:rPr>
              <w:t>микр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ворсинок</w:t>
            </w:r>
            <w:proofErr w:type="spellEnd"/>
            <w:r>
              <w:rPr>
                <w:sz w:val="20"/>
                <w:szCs w:val="20"/>
              </w:rPr>
              <w:t>, мкм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0,38±0,06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0,37±0,08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0,57±0,07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0,63±0,05*</w:t>
            </w:r>
          </w:p>
        </w:tc>
      </w:tr>
      <w:tr w:rsidR="007D1BB6" w:rsidTr="002E185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</w:t>
            </w:r>
          </w:p>
          <w:p w:rsidR="007D1BB6" w:rsidRDefault="007D1BB6" w:rsidP="002E185D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микроворс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нок</w:t>
            </w:r>
            <w:proofErr w:type="spellEnd"/>
            <w:r>
              <w:rPr>
                <w:sz w:val="20"/>
                <w:szCs w:val="20"/>
              </w:rPr>
              <w:t>, мкм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0,17±0,06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0,27±0,07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0,39±0,06*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0,43±0,05*</w:t>
            </w:r>
          </w:p>
        </w:tc>
      </w:tr>
      <w:tr w:rsidR="007D1BB6" w:rsidTr="002E185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</w:t>
            </w:r>
            <w:proofErr w:type="spellStart"/>
            <w:r>
              <w:rPr>
                <w:sz w:val="20"/>
                <w:szCs w:val="20"/>
              </w:rPr>
              <w:t>микр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ворсинками</w:t>
            </w:r>
            <w:proofErr w:type="spellEnd"/>
            <w:r>
              <w:rPr>
                <w:sz w:val="20"/>
                <w:szCs w:val="20"/>
              </w:rPr>
              <w:t>, нм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39,01±0,54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37,98±0,67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30,71±0,89</w:t>
            </w:r>
          </w:p>
        </w:tc>
        <w:tc>
          <w:tcPr>
            <w:tcW w:w="1134" w:type="dxa"/>
            <w:vAlign w:val="center"/>
          </w:tcPr>
          <w:p w:rsidR="007D1BB6" w:rsidRDefault="007D1BB6" w:rsidP="002E185D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29,68±0,71</w:t>
            </w:r>
          </w:p>
        </w:tc>
      </w:tr>
    </w:tbl>
    <w:p w:rsidR="007D1BB6" w:rsidRPr="007713BB" w:rsidRDefault="007D1BB6" w:rsidP="007D1BB6">
      <w:pPr>
        <w:pStyle w:val="3"/>
        <w:ind w:left="0"/>
      </w:pPr>
      <w:r w:rsidRPr="007713BB">
        <w:t>*</w:t>
      </w:r>
      <w:r w:rsidRPr="007713BB">
        <w:rPr>
          <w:lang w:val="en-US"/>
        </w:rPr>
        <w:t>P</w:t>
      </w:r>
      <w:r w:rsidRPr="007713BB">
        <w:t>&lt;0,05;**</w:t>
      </w:r>
      <w:r w:rsidRPr="007713BB">
        <w:rPr>
          <w:lang w:val="en-US"/>
        </w:rPr>
        <w:t>P</w:t>
      </w:r>
      <w:r w:rsidRPr="007713BB">
        <w:t>&lt;0,01; ***</w:t>
      </w:r>
      <w:r w:rsidRPr="007713BB">
        <w:rPr>
          <w:lang w:val="en-US"/>
        </w:rPr>
        <w:t>P</w:t>
      </w:r>
      <w:r w:rsidRPr="007713BB">
        <w:t>&lt;0,001</w:t>
      </w:r>
    </w:p>
    <w:p w:rsidR="007D1BB6" w:rsidRDefault="007D1BB6" w:rsidP="007D1BB6">
      <w:pPr>
        <w:pStyle w:val="3"/>
        <w:spacing w:before="60" w:after="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Плотность расположения </w:t>
      </w:r>
      <w:proofErr w:type="spellStart"/>
      <w:r>
        <w:rPr>
          <w:sz w:val="20"/>
          <w:szCs w:val="20"/>
        </w:rPr>
        <w:t>микроворсинок</w:t>
      </w:r>
      <w:proofErr w:type="spellEnd"/>
      <w:r>
        <w:rPr>
          <w:sz w:val="20"/>
          <w:szCs w:val="20"/>
        </w:rPr>
        <w:t xml:space="preserve"> является важным регул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тором в предохранении проникновения токсических веществ, микроорганизмов в глубину слизистой оболочки, тем самым защищая её от </w:t>
      </w:r>
      <w:proofErr w:type="spellStart"/>
      <w:r>
        <w:rPr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тигенного</w:t>
      </w:r>
      <w:proofErr w:type="spellEnd"/>
      <w:r>
        <w:rPr>
          <w:sz w:val="20"/>
          <w:szCs w:val="20"/>
        </w:rPr>
        <w:t xml:space="preserve"> воздействия. Наибольшая плотность </w:t>
      </w:r>
      <w:proofErr w:type="spellStart"/>
      <w:r>
        <w:rPr>
          <w:sz w:val="20"/>
          <w:szCs w:val="20"/>
        </w:rPr>
        <w:t>микроворсинок</w:t>
      </w:r>
      <w:proofErr w:type="spellEnd"/>
      <w:r>
        <w:rPr>
          <w:sz w:val="20"/>
          <w:szCs w:val="20"/>
        </w:rPr>
        <w:t xml:space="preserve"> на эп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телиальных клетках установлена у </w:t>
      </w:r>
      <w:proofErr w:type="spellStart"/>
      <w:r>
        <w:rPr>
          <w:sz w:val="20"/>
          <w:szCs w:val="20"/>
        </w:rPr>
        <w:t>телят-нормотрофиков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телят-гипотрофиков</w:t>
      </w:r>
      <w:proofErr w:type="spellEnd"/>
      <w:r>
        <w:rPr>
          <w:sz w:val="20"/>
          <w:szCs w:val="20"/>
        </w:rPr>
        <w:t xml:space="preserve"> с низкой степенью антен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тального недоразвития, где этот показатель равняется 29,68±0,71 нм и 30,71±0,89 нм. У </w:t>
      </w:r>
      <w:proofErr w:type="spellStart"/>
      <w:r>
        <w:rPr>
          <w:sz w:val="20"/>
          <w:szCs w:val="20"/>
        </w:rPr>
        <w:t>телят-гипотрофиков</w:t>
      </w:r>
      <w:proofErr w:type="spellEnd"/>
      <w:r>
        <w:rPr>
          <w:sz w:val="20"/>
          <w:szCs w:val="20"/>
        </w:rPr>
        <w:t xml:space="preserve"> других групп расстояние между </w:t>
      </w:r>
      <w:proofErr w:type="spellStart"/>
      <w:r>
        <w:rPr>
          <w:sz w:val="20"/>
          <w:szCs w:val="20"/>
        </w:rPr>
        <w:t>микроворсинками</w:t>
      </w:r>
      <w:proofErr w:type="spellEnd"/>
      <w:r>
        <w:rPr>
          <w:sz w:val="20"/>
          <w:szCs w:val="20"/>
        </w:rPr>
        <w:t xml:space="preserve">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ставило 37,98±0,67 нм и 39,01±0,54 нм.</w:t>
      </w:r>
    </w:p>
    <w:p w:rsidR="007D1BB6" w:rsidRPr="007713BB" w:rsidRDefault="007D1BB6" w:rsidP="007D1BB6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 xml:space="preserve">Некоторые </w:t>
      </w:r>
      <w:proofErr w:type="spellStart"/>
      <w:r w:rsidRPr="007713BB">
        <w:rPr>
          <w:sz w:val="20"/>
          <w:szCs w:val="20"/>
        </w:rPr>
        <w:t>микроворсинки</w:t>
      </w:r>
      <w:proofErr w:type="spellEnd"/>
      <w:r w:rsidRPr="007713BB">
        <w:rPr>
          <w:sz w:val="20"/>
          <w:szCs w:val="20"/>
        </w:rPr>
        <w:t xml:space="preserve"> характеризуются наличием трехслойной плазматической оболочки. Внутри </w:t>
      </w:r>
      <w:proofErr w:type="spellStart"/>
      <w:r w:rsidRPr="007713BB">
        <w:rPr>
          <w:sz w:val="20"/>
          <w:szCs w:val="20"/>
        </w:rPr>
        <w:t>микроворсинок</w:t>
      </w:r>
      <w:proofErr w:type="spellEnd"/>
      <w:r w:rsidRPr="007713BB">
        <w:rPr>
          <w:sz w:val="20"/>
          <w:szCs w:val="20"/>
        </w:rPr>
        <w:t xml:space="preserve"> проходят волокна, которые переплетаются с поперечно ориентированной фибриллярной сетью в апикальных частях клеток, формируя образования, известные как «терминальная соединительная ткань». Волокна состоят из актина, а </w:t>
      </w:r>
      <w:proofErr w:type="spellStart"/>
      <w:r w:rsidRPr="007713BB">
        <w:rPr>
          <w:sz w:val="20"/>
          <w:szCs w:val="20"/>
        </w:rPr>
        <w:t>миозиновые</w:t>
      </w:r>
      <w:proofErr w:type="spellEnd"/>
      <w:r w:rsidRPr="007713BB">
        <w:rPr>
          <w:sz w:val="20"/>
          <w:szCs w:val="20"/>
        </w:rPr>
        <w:t xml:space="preserve"> волокна соединяют активные пучки </w:t>
      </w:r>
      <w:proofErr w:type="gramStart"/>
      <w:r w:rsidRPr="007713BB">
        <w:rPr>
          <w:sz w:val="20"/>
          <w:szCs w:val="20"/>
        </w:rPr>
        <w:t>отдельных</w:t>
      </w:r>
      <w:proofErr w:type="gramEnd"/>
      <w:r w:rsidRPr="007713BB">
        <w:rPr>
          <w:sz w:val="20"/>
          <w:szCs w:val="20"/>
        </w:rPr>
        <w:t xml:space="preserve"> </w:t>
      </w:r>
      <w:proofErr w:type="spellStart"/>
      <w:r w:rsidRPr="007713BB">
        <w:rPr>
          <w:sz w:val="20"/>
          <w:szCs w:val="20"/>
        </w:rPr>
        <w:t>микр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ворсинок</w:t>
      </w:r>
      <w:proofErr w:type="spellEnd"/>
      <w:r w:rsidRPr="007713BB">
        <w:rPr>
          <w:sz w:val="20"/>
          <w:szCs w:val="20"/>
        </w:rPr>
        <w:t xml:space="preserve"> таким образом, что щеточная кайма выполняет </w:t>
      </w:r>
      <w:proofErr w:type="spellStart"/>
      <w:r w:rsidRPr="007713BB">
        <w:rPr>
          <w:sz w:val="20"/>
          <w:szCs w:val="20"/>
        </w:rPr>
        <w:t>контрактил</w:t>
      </w:r>
      <w:r w:rsidRPr="007713BB">
        <w:rPr>
          <w:sz w:val="20"/>
          <w:szCs w:val="20"/>
        </w:rPr>
        <w:t>ь</w:t>
      </w:r>
      <w:r w:rsidRPr="007713BB">
        <w:rPr>
          <w:sz w:val="20"/>
          <w:szCs w:val="20"/>
        </w:rPr>
        <w:t>ную</w:t>
      </w:r>
      <w:proofErr w:type="spellEnd"/>
      <w:r w:rsidRPr="007713BB">
        <w:rPr>
          <w:sz w:val="20"/>
          <w:szCs w:val="20"/>
        </w:rPr>
        <w:t xml:space="preserve"> функцию. Щеточная кайма лучше развита на вершине клеток, где наступает их </w:t>
      </w:r>
      <w:proofErr w:type="spellStart"/>
      <w:r w:rsidRPr="007713BB">
        <w:rPr>
          <w:sz w:val="20"/>
          <w:szCs w:val="20"/>
        </w:rPr>
        <w:t>апоптоз</w:t>
      </w:r>
      <w:proofErr w:type="spellEnd"/>
      <w:r w:rsidRPr="007713BB">
        <w:rPr>
          <w:sz w:val="20"/>
          <w:szCs w:val="20"/>
        </w:rPr>
        <w:t>. Эту часть называют «зоной отторжения». Благ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 xml:space="preserve">даря </w:t>
      </w:r>
      <w:proofErr w:type="spellStart"/>
      <w:r w:rsidRPr="007713BB">
        <w:rPr>
          <w:sz w:val="20"/>
          <w:szCs w:val="20"/>
        </w:rPr>
        <w:t>микроворсинкам</w:t>
      </w:r>
      <w:proofErr w:type="spellEnd"/>
      <w:r w:rsidRPr="007713BB">
        <w:rPr>
          <w:sz w:val="20"/>
          <w:szCs w:val="20"/>
        </w:rPr>
        <w:t xml:space="preserve"> экстра</w:t>
      </w:r>
      <w:r w:rsidRPr="007713BB">
        <w:rPr>
          <w:sz w:val="20"/>
          <w:szCs w:val="20"/>
          <w:lang w:val="be-BY"/>
        </w:rPr>
        <w:t>целлюляр</w:t>
      </w:r>
      <w:proofErr w:type="spellStart"/>
      <w:r w:rsidRPr="007713BB">
        <w:rPr>
          <w:sz w:val="20"/>
          <w:szCs w:val="20"/>
        </w:rPr>
        <w:t>ная</w:t>
      </w:r>
      <w:proofErr w:type="spellEnd"/>
      <w:r w:rsidRPr="007713BB">
        <w:rPr>
          <w:sz w:val="20"/>
          <w:szCs w:val="20"/>
        </w:rPr>
        <w:t xml:space="preserve"> (</w:t>
      </w:r>
      <w:proofErr w:type="spellStart"/>
      <w:r w:rsidRPr="007713BB">
        <w:rPr>
          <w:sz w:val="20"/>
          <w:szCs w:val="20"/>
        </w:rPr>
        <w:t>люминальная</w:t>
      </w:r>
      <w:proofErr w:type="spellEnd"/>
      <w:r w:rsidRPr="007713BB">
        <w:rPr>
          <w:sz w:val="20"/>
          <w:szCs w:val="20"/>
        </w:rPr>
        <w:t>) поверхность клеток увеличивается.</w:t>
      </w:r>
    </w:p>
    <w:p w:rsidR="007D1BB6" w:rsidRPr="007713BB" w:rsidRDefault="007D1BB6" w:rsidP="007D1BB6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lastRenderedPageBreak/>
        <w:t>Плазматическая мембрана считается внешней границей клетки, о</w:t>
      </w:r>
      <w:r w:rsidRPr="007713BB">
        <w:rPr>
          <w:sz w:val="20"/>
          <w:szCs w:val="20"/>
        </w:rPr>
        <w:t>д</w:t>
      </w:r>
      <w:r w:rsidRPr="007713BB">
        <w:rPr>
          <w:sz w:val="20"/>
          <w:szCs w:val="20"/>
        </w:rPr>
        <w:t xml:space="preserve">нако у клеток имеются еще связанные с этой мембраной </w:t>
      </w:r>
      <w:proofErr w:type="spellStart"/>
      <w:r w:rsidRPr="007713BB">
        <w:rPr>
          <w:sz w:val="20"/>
          <w:szCs w:val="20"/>
        </w:rPr>
        <w:t>экстрацеллюля</w:t>
      </w:r>
      <w:r>
        <w:rPr>
          <w:sz w:val="20"/>
          <w:szCs w:val="20"/>
        </w:rPr>
        <w:t>рные</w:t>
      </w:r>
      <w:proofErr w:type="spellEnd"/>
      <w:r>
        <w:rPr>
          <w:sz w:val="20"/>
          <w:szCs w:val="20"/>
        </w:rPr>
        <w:t xml:space="preserve"> компоненты, так называемая</w:t>
      </w:r>
      <w:r w:rsidRPr="007713BB">
        <w:rPr>
          <w:sz w:val="20"/>
          <w:szCs w:val="20"/>
        </w:rPr>
        <w:t xml:space="preserve"> буферная структура – </w:t>
      </w:r>
      <w:proofErr w:type="spellStart"/>
      <w:r w:rsidRPr="007713BB">
        <w:rPr>
          <w:sz w:val="20"/>
          <w:szCs w:val="20"/>
        </w:rPr>
        <w:t>гликок</w:t>
      </w:r>
      <w:r w:rsidRPr="007713BB">
        <w:rPr>
          <w:sz w:val="20"/>
          <w:szCs w:val="20"/>
        </w:rPr>
        <w:t>а</w:t>
      </w:r>
      <w:r w:rsidRPr="007713BB">
        <w:rPr>
          <w:sz w:val="20"/>
          <w:szCs w:val="20"/>
        </w:rPr>
        <w:t>ликс</w:t>
      </w:r>
      <w:proofErr w:type="spellEnd"/>
      <w:r w:rsidRPr="007713BB">
        <w:rPr>
          <w:sz w:val="20"/>
          <w:szCs w:val="20"/>
        </w:rPr>
        <w:t xml:space="preserve">. </w:t>
      </w:r>
      <w:proofErr w:type="spellStart"/>
      <w:r w:rsidRPr="007713BB">
        <w:rPr>
          <w:sz w:val="20"/>
          <w:szCs w:val="20"/>
        </w:rPr>
        <w:t>Микроворсинки</w:t>
      </w:r>
      <w:proofErr w:type="spellEnd"/>
      <w:r w:rsidRPr="007713BB">
        <w:rPr>
          <w:sz w:val="20"/>
          <w:szCs w:val="20"/>
        </w:rPr>
        <w:t xml:space="preserve"> покрыты </w:t>
      </w:r>
      <w:proofErr w:type="spellStart"/>
      <w:r w:rsidRPr="007713BB">
        <w:rPr>
          <w:sz w:val="20"/>
          <w:szCs w:val="20"/>
        </w:rPr>
        <w:t>надмембранным</w:t>
      </w:r>
      <w:proofErr w:type="spellEnd"/>
      <w:r w:rsidRPr="007713BB">
        <w:rPr>
          <w:sz w:val="20"/>
          <w:szCs w:val="20"/>
        </w:rPr>
        <w:t xml:space="preserve"> слоем, который в</w:t>
      </w:r>
      <w:r w:rsidRPr="007713BB">
        <w:rPr>
          <w:sz w:val="20"/>
          <w:szCs w:val="20"/>
        </w:rPr>
        <w:t>ы</w:t>
      </w:r>
      <w:r w:rsidRPr="007713BB">
        <w:rPr>
          <w:sz w:val="20"/>
          <w:szCs w:val="20"/>
        </w:rPr>
        <w:t xml:space="preserve">глядит «пушистым» и состоит из фибриллярного материала с низкой электронной плотностью. У новорожденных телят в зависимости от степени антенатального недоразвития толщина этого непрерывного слоя колеблется от 0,1 мкм до 0,3 мкм. Именно состояние </w:t>
      </w:r>
      <w:proofErr w:type="spellStart"/>
      <w:r w:rsidRPr="007713BB">
        <w:rPr>
          <w:sz w:val="20"/>
          <w:szCs w:val="20"/>
        </w:rPr>
        <w:t>гликокаликса</w:t>
      </w:r>
      <w:proofErr w:type="spellEnd"/>
      <w:r w:rsidRPr="007713BB">
        <w:rPr>
          <w:sz w:val="20"/>
          <w:szCs w:val="20"/>
        </w:rPr>
        <w:t xml:space="preserve"> характеризует функциональное состояние желудочно-кишечного тра</w:t>
      </w:r>
      <w:r w:rsidRPr="007713BB">
        <w:rPr>
          <w:sz w:val="20"/>
          <w:szCs w:val="20"/>
        </w:rPr>
        <w:t>к</w:t>
      </w:r>
      <w:r w:rsidRPr="007713BB">
        <w:rPr>
          <w:sz w:val="20"/>
          <w:szCs w:val="20"/>
        </w:rPr>
        <w:t xml:space="preserve">та. В частности, атрофия </w:t>
      </w:r>
      <w:proofErr w:type="spellStart"/>
      <w:r w:rsidRPr="007713BB">
        <w:rPr>
          <w:sz w:val="20"/>
          <w:szCs w:val="20"/>
        </w:rPr>
        <w:t>гликокаликса</w:t>
      </w:r>
      <w:proofErr w:type="spellEnd"/>
      <w:r w:rsidRPr="007713BB">
        <w:rPr>
          <w:sz w:val="20"/>
          <w:szCs w:val="20"/>
        </w:rPr>
        <w:t xml:space="preserve"> является причиной повре</w:t>
      </w:r>
      <w:r w:rsidRPr="007713BB">
        <w:rPr>
          <w:sz w:val="20"/>
          <w:szCs w:val="20"/>
        </w:rPr>
        <w:t>ж</w:t>
      </w:r>
      <w:r w:rsidRPr="007713BB">
        <w:rPr>
          <w:sz w:val="20"/>
          <w:szCs w:val="20"/>
        </w:rPr>
        <w:t xml:space="preserve">дающего действия токсических веществ химуса на липопротеиновую мембрану. У </w:t>
      </w:r>
      <w:proofErr w:type="spellStart"/>
      <w:r w:rsidRPr="007713BB">
        <w:rPr>
          <w:sz w:val="20"/>
          <w:szCs w:val="20"/>
        </w:rPr>
        <w:t>телят-</w:t>
      </w:r>
      <w:r>
        <w:rPr>
          <w:sz w:val="20"/>
          <w:szCs w:val="20"/>
        </w:rPr>
        <w:t>гипотрофиков</w:t>
      </w:r>
      <w:proofErr w:type="spellEnd"/>
      <w:r>
        <w:rPr>
          <w:sz w:val="20"/>
          <w:szCs w:val="20"/>
        </w:rPr>
        <w:t xml:space="preserve"> с высокой степенью </w:t>
      </w:r>
      <w:r w:rsidRPr="007713BB">
        <w:rPr>
          <w:sz w:val="20"/>
          <w:szCs w:val="20"/>
        </w:rPr>
        <w:t xml:space="preserve">антенатального недоразвития отмечаются нарушения состояния </w:t>
      </w:r>
      <w:proofErr w:type="spellStart"/>
      <w:r w:rsidRPr="007713BB">
        <w:rPr>
          <w:sz w:val="20"/>
          <w:szCs w:val="20"/>
        </w:rPr>
        <w:t>гликопротеидного</w:t>
      </w:r>
      <w:proofErr w:type="spellEnd"/>
      <w:r w:rsidRPr="007713BB">
        <w:rPr>
          <w:sz w:val="20"/>
          <w:szCs w:val="20"/>
        </w:rPr>
        <w:t xml:space="preserve"> и </w:t>
      </w:r>
      <w:proofErr w:type="spellStart"/>
      <w:r w:rsidRPr="007713BB">
        <w:rPr>
          <w:sz w:val="20"/>
          <w:szCs w:val="20"/>
        </w:rPr>
        <w:t>гликозаминогликанового</w:t>
      </w:r>
      <w:proofErr w:type="spellEnd"/>
      <w:r w:rsidRPr="007713BB">
        <w:rPr>
          <w:sz w:val="20"/>
          <w:szCs w:val="20"/>
        </w:rPr>
        <w:t xml:space="preserve"> компонентов </w:t>
      </w:r>
      <w:proofErr w:type="spellStart"/>
      <w:r w:rsidRPr="007713BB">
        <w:rPr>
          <w:sz w:val="20"/>
          <w:szCs w:val="20"/>
        </w:rPr>
        <w:t>надмембранного</w:t>
      </w:r>
      <w:proofErr w:type="spellEnd"/>
      <w:r w:rsidRPr="007713BB">
        <w:rPr>
          <w:sz w:val="20"/>
          <w:szCs w:val="20"/>
        </w:rPr>
        <w:t xml:space="preserve"> слоя и ме</w:t>
      </w:r>
      <w:r w:rsidRPr="007713BB">
        <w:rPr>
          <w:sz w:val="20"/>
          <w:szCs w:val="20"/>
        </w:rPr>
        <w:t>м</w:t>
      </w:r>
      <w:r w:rsidRPr="007713BB">
        <w:rPr>
          <w:sz w:val="20"/>
          <w:szCs w:val="20"/>
        </w:rPr>
        <w:t xml:space="preserve">бран </w:t>
      </w:r>
      <w:proofErr w:type="spellStart"/>
      <w:r w:rsidRPr="007713BB">
        <w:rPr>
          <w:sz w:val="20"/>
          <w:szCs w:val="20"/>
        </w:rPr>
        <w:t>эпителиоцитов</w:t>
      </w:r>
      <w:proofErr w:type="spellEnd"/>
      <w:r w:rsidRPr="007713BB">
        <w:rPr>
          <w:sz w:val="20"/>
          <w:szCs w:val="20"/>
        </w:rPr>
        <w:t xml:space="preserve">. Клетки эпителия кажутся голыми, лишенными оболочек. Некоторые </w:t>
      </w:r>
      <w:proofErr w:type="spellStart"/>
      <w:r w:rsidRPr="007713BB">
        <w:rPr>
          <w:sz w:val="20"/>
          <w:szCs w:val="20"/>
        </w:rPr>
        <w:t>эпителиоциты</w:t>
      </w:r>
      <w:proofErr w:type="spellEnd"/>
      <w:r w:rsidRPr="007713BB">
        <w:rPr>
          <w:sz w:val="20"/>
          <w:szCs w:val="20"/>
        </w:rPr>
        <w:t xml:space="preserve"> набухшие с мутной или грубозе</w:t>
      </w:r>
      <w:r w:rsidRPr="007713BB">
        <w:rPr>
          <w:sz w:val="20"/>
          <w:szCs w:val="20"/>
        </w:rPr>
        <w:t>р</w:t>
      </w:r>
      <w:r w:rsidRPr="007713BB">
        <w:rPr>
          <w:sz w:val="20"/>
          <w:szCs w:val="20"/>
        </w:rPr>
        <w:t xml:space="preserve">нистой цитоплазмой, нередко наблюдаются вакуоли. Межклеточная связь </w:t>
      </w:r>
      <w:proofErr w:type="spellStart"/>
      <w:r w:rsidRPr="007713BB">
        <w:rPr>
          <w:sz w:val="20"/>
          <w:szCs w:val="20"/>
        </w:rPr>
        <w:t>эпителиоцитов</w:t>
      </w:r>
      <w:proofErr w:type="spellEnd"/>
      <w:r w:rsidRPr="007713BB">
        <w:rPr>
          <w:sz w:val="20"/>
          <w:szCs w:val="20"/>
        </w:rPr>
        <w:t xml:space="preserve"> нарушена, между ними появляются щели.</w:t>
      </w:r>
    </w:p>
    <w:p w:rsidR="007D1BB6" w:rsidRPr="007713BB" w:rsidRDefault="007D1BB6" w:rsidP="007D1BB6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 xml:space="preserve">В концевых отделах желез 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 xml:space="preserve"> с высокой степенью недоразвития отмечают либо пустоты, либо секрет с примесью </w:t>
      </w:r>
      <w:proofErr w:type="spellStart"/>
      <w:r w:rsidRPr="007713BB">
        <w:rPr>
          <w:sz w:val="20"/>
          <w:szCs w:val="20"/>
        </w:rPr>
        <w:t>слущенных</w:t>
      </w:r>
      <w:proofErr w:type="spellEnd"/>
      <w:r>
        <w:rPr>
          <w:sz w:val="20"/>
          <w:szCs w:val="20"/>
        </w:rPr>
        <w:t xml:space="preserve"> секреторных клеток. Также имею</w:t>
      </w:r>
      <w:r w:rsidRPr="007713BB">
        <w:rPr>
          <w:sz w:val="20"/>
          <w:szCs w:val="20"/>
        </w:rPr>
        <w:t>т место кистозные и атроф</w:t>
      </w:r>
      <w:r w:rsidRPr="007713BB">
        <w:rPr>
          <w:sz w:val="20"/>
          <w:szCs w:val="20"/>
        </w:rPr>
        <w:t>и</w:t>
      </w:r>
      <w:r w:rsidRPr="007713BB">
        <w:rPr>
          <w:sz w:val="20"/>
          <w:szCs w:val="20"/>
        </w:rPr>
        <w:t xml:space="preserve">ческие изменения желез. Встречаются железы, представленные скоплением </w:t>
      </w:r>
      <w:proofErr w:type="spellStart"/>
      <w:r w:rsidRPr="007713BB">
        <w:rPr>
          <w:sz w:val="20"/>
          <w:szCs w:val="20"/>
        </w:rPr>
        <w:t>эпителиоцит</w:t>
      </w:r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 xml:space="preserve"> </w:t>
      </w:r>
      <w:r w:rsidRPr="007713BB">
        <w:rPr>
          <w:sz w:val="20"/>
          <w:szCs w:val="20"/>
        </w:rPr>
        <w:t xml:space="preserve">с </w:t>
      </w:r>
      <w:proofErr w:type="spellStart"/>
      <w:r w:rsidRPr="007713BB">
        <w:rPr>
          <w:sz w:val="20"/>
          <w:szCs w:val="20"/>
        </w:rPr>
        <w:t>пузырковидными</w:t>
      </w:r>
      <w:proofErr w:type="spellEnd"/>
      <w:r w:rsidRPr="007713BB">
        <w:rPr>
          <w:sz w:val="20"/>
          <w:szCs w:val="20"/>
        </w:rPr>
        <w:t xml:space="preserve"> ядрами, что свидетельствует о незаконченной дифференциации желез.</w:t>
      </w:r>
    </w:p>
    <w:p w:rsidR="007D1BB6" w:rsidRPr="007713BB" w:rsidRDefault="007D1BB6" w:rsidP="007D1BB6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713BB">
        <w:rPr>
          <w:sz w:val="20"/>
          <w:szCs w:val="20"/>
        </w:rPr>
        <w:t xml:space="preserve">Главным ультраструктурным признаком поверхностных </w:t>
      </w:r>
      <w:proofErr w:type="spellStart"/>
      <w:r w:rsidRPr="007713BB">
        <w:rPr>
          <w:sz w:val="20"/>
          <w:szCs w:val="20"/>
        </w:rPr>
        <w:t>эпители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>цитов</w:t>
      </w:r>
      <w:proofErr w:type="spellEnd"/>
      <w:r w:rsidRPr="007713BB">
        <w:rPr>
          <w:sz w:val="20"/>
          <w:szCs w:val="20"/>
        </w:rPr>
        <w:t xml:space="preserve"> </w:t>
      </w:r>
      <w:proofErr w:type="spellStart"/>
      <w:r w:rsidRPr="007713BB">
        <w:rPr>
          <w:sz w:val="20"/>
          <w:szCs w:val="20"/>
        </w:rPr>
        <w:t>телят-нормотрофиков</w:t>
      </w:r>
      <w:proofErr w:type="spellEnd"/>
      <w:r w:rsidRPr="007713BB">
        <w:rPr>
          <w:sz w:val="20"/>
          <w:szCs w:val="20"/>
        </w:rPr>
        <w:t xml:space="preserve"> и 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 xml:space="preserve"> с низкой степенью недоразвития является наличие большого количества овальных и кру</w:t>
      </w:r>
      <w:r w:rsidRPr="007713BB">
        <w:rPr>
          <w:sz w:val="20"/>
          <w:szCs w:val="20"/>
        </w:rPr>
        <w:t>г</w:t>
      </w:r>
      <w:r w:rsidRPr="007713BB">
        <w:rPr>
          <w:sz w:val="20"/>
          <w:szCs w:val="20"/>
        </w:rPr>
        <w:t xml:space="preserve">лых гранул, окруженных мембранами. Для </w:t>
      </w:r>
      <w:proofErr w:type="spellStart"/>
      <w:r w:rsidRPr="007713BB">
        <w:rPr>
          <w:sz w:val="20"/>
          <w:szCs w:val="20"/>
        </w:rPr>
        <w:t>эпителиоцитов</w:t>
      </w:r>
      <w:proofErr w:type="spellEnd"/>
      <w:r w:rsidRPr="007713BB">
        <w:rPr>
          <w:sz w:val="20"/>
          <w:szCs w:val="20"/>
        </w:rPr>
        <w:t xml:space="preserve"> характерно слабое развитие гранулярной эндоплазматической сети, мало митохондрий, они локализуются преимущественно вокруг ядер, гранул рибонуклеопротеидов немного, они находятся обычно в свободном состо</w:t>
      </w:r>
      <w:r w:rsidRPr="007713BB">
        <w:rPr>
          <w:sz w:val="20"/>
          <w:szCs w:val="20"/>
        </w:rPr>
        <w:t>я</w:t>
      </w:r>
      <w:r w:rsidRPr="007713BB">
        <w:rPr>
          <w:sz w:val="20"/>
          <w:szCs w:val="20"/>
        </w:rPr>
        <w:t xml:space="preserve">нии. </w:t>
      </w:r>
    </w:p>
    <w:p w:rsidR="007D1BB6" w:rsidRPr="007713BB" w:rsidRDefault="007D1BB6" w:rsidP="007D1BB6">
      <w:pPr>
        <w:shd w:val="clear" w:color="auto" w:fill="FFFFFF"/>
        <w:ind w:firstLine="284"/>
        <w:jc w:val="both"/>
        <w:rPr>
          <w:sz w:val="20"/>
          <w:szCs w:val="20"/>
        </w:rPr>
      </w:pPr>
      <w:r w:rsidRPr="007713BB">
        <w:rPr>
          <w:b/>
          <w:sz w:val="20"/>
          <w:szCs w:val="20"/>
        </w:rPr>
        <w:t>Заключение.</w:t>
      </w:r>
      <w:r w:rsidRPr="007713BB">
        <w:rPr>
          <w:sz w:val="20"/>
          <w:szCs w:val="20"/>
        </w:rPr>
        <w:t xml:space="preserve"> Таким образом, у новорожденных телят с разной ст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пенью физиологической зрелости поверхностный эпителий сычуга претерпевает некоторые морфофун</w:t>
      </w:r>
      <w:r w:rsidRPr="007713BB">
        <w:rPr>
          <w:sz w:val="20"/>
          <w:szCs w:val="20"/>
        </w:rPr>
        <w:t>к</w:t>
      </w:r>
      <w:r w:rsidRPr="007713BB">
        <w:rPr>
          <w:sz w:val="20"/>
          <w:szCs w:val="20"/>
        </w:rPr>
        <w:t>циональные изменения, связанные с перестройкой структурной организации. Степень развития тканевых комп</w:t>
      </w:r>
      <w:r w:rsidRPr="007713BB">
        <w:rPr>
          <w:sz w:val="20"/>
          <w:szCs w:val="20"/>
        </w:rPr>
        <w:t>о</w:t>
      </w:r>
      <w:r w:rsidRPr="007713BB">
        <w:rPr>
          <w:sz w:val="20"/>
          <w:szCs w:val="20"/>
        </w:rPr>
        <w:t xml:space="preserve">нентов слизистой оболочки сычуга зависит от живой массы телят при рождении. Наибольшая плотность </w:t>
      </w:r>
      <w:proofErr w:type="spellStart"/>
      <w:r w:rsidRPr="007713BB">
        <w:rPr>
          <w:sz w:val="20"/>
          <w:szCs w:val="20"/>
        </w:rPr>
        <w:t>микроворсинок</w:t>
      </w:r>
      <w:proofErr w:type="spellEnd"/>
      <w:r w:rsidRPr="007713BB">
        <w:rPr>
          <w:sz w:val="20"/>
          <w:szCs w:val="20"/>
        </w:rPr>
        <w:t xml:space="preserve"> на эпителиал</w:t>
      </w:r>
      <w:r w:rsidRPr="007713BB">
        <w:rPr>
          <w:sz w:val="20"/>
          <w:szCs w:val="20"/>
        </w:rPr>
        <w:t>ь</w:t>
      </w:r>
      <w:r w:rsidRPr="007713BB">
        <w:rPr>
          <w:sz w:val="20"/>
          <w:szCs w:val="20"/>
        </w:rPr>
        <w:t xml:space="preserve">ных клетках установлена у </w:t>
      </w:r>
      <w:proofErr w:type="spellStart"/>
      <w:r w:rsidRPr="007713BB">
        <w:rPr>
          <w:sz w:val="20"/>
          <w:szCs w:val="20"/>
        </w:rPr>
        <w:t>т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>лят-нормотрофиков</w:t>
      </w:r>
      <w:proofErr w:type="spellEnd"/>
      <w:r w:rsidRPr="007713BB">
        <w:rPr>
          <w:sz w:val="20"/>
          <w:szCs w:val="20"/>
        </w:rPr>
        <w:t xml:space="preserve"> и 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 xml:space="preserve"> с низкой степенью антенатального недоразвития, где этот показатель равняе</w:t>
      </w:r>
      <w:r w:rsidRPr="007713BB">
        <w:rPr>
          <w:sz w:val="20"/>
          <w:szCs w:val="20"/>
        </w:rPr>
        <w:t>т</w:t>
      </w:r>
      <w:r>
        <w:rPr>
          <w:sz w:val="20"/>
          <w:szCs w:val="20"/>
        </w:rPr>
        <w:t xml:space="preserve">ся </w:t>
      </w:r>
      <w:r w:rsidRPr="007713BB">
        <w:rPr>
          <w:sz w:val="20"/>
          <w:szCs w:val="20"/>
        </w:rPr>
        <w:t xml:space="preserve">29,68±0,71 нм и 30,71±0,89 нм. У </w:t>
      </w:r>
      <w:proofErr w:type="spellStart"/>
      <w:r w:rsidRPr="007713BB">
        <w:rPr>
          <w:sz w:val="20"/>
          <w:szCs w:val="20"/>
        </w:rPr>
        <w:t>телят-гипотрофиков</w:t>
      </w:r>
      <w:proofErr w:type="spellEnd"/>
      <w:r w:rsidRPr="007713BB">
        <w:rPr>
          <w:sz w:val="20"/>
          <w:szCs w:val="20"/>
        </w:rPr>
        <w:t xml:space="preserve"> других групп расстояние между </w:t>
      </w:r>
      <w:proofErr w:type="spellStart"/>
      <w:r w:rsidRPr="007713BB">
        <w:rPr>
          <w:sz w:val="20"/>
          <w:szCs w:val="20"/>
        </w:rPr>
        <w:t>микроворсинками</w:t>
      </w:r>
      <w:proofErr w:type="spellEnd"/>
      <w:r w:rsidRPr="007713BB">
        <w:rPr>
          <w:sz w:val="20"/>
          <w:szCs w:val="20"/>
        </w:rPr>
        <w:t xml:space="preserve"> составило 37,98±0,67 нм и 39,01±0,54 нм. Наибольшая поверхность отм</w:t>
      </w:r>
      <w:r w:rsidRPr="007713BB">
        <w:rPr>
          <w:sz w:val="20"/>
          <w:szCs w:val="20"/>
        </w:rPr>
        <w:t>е</w:t>
      </w:r>
      <w:r w:rsidRPr="007713BB">
        <w:rPr>
          <w:sz w:val="20"/>
          <w:szCs w:val="20"/>
        </w:rPr>
        <w:t xml:space="preserve">чена у </w:t>
      </w:r>
      <w:proofErr w:type="spellStart"/>
      <w:r w:rsidRPr="007713BB">
        <w:rPr>
          <w:sz w:val="20"/>
          <w:szCs w:val="20"/>
        </w:rPr>
        <w:t>эпителиоцитов</w:t>
      </w:r>
      <w:proofErr w:type="spellEnd"/>
      <w:r w:rsidRPr="007713BB">
        <w:rPr>
          <w:sz w:val="20"/>
          <w:szCs w:val="20"/>
        </w:rPr>
        <w:t xml:space="preserve"> </w:t>
      </w:r>
      <w:proofErr w:type="spellStart"/>
      <w:r w:rsidRPr="007713BB">
        <w:rPr>
          <w:sz w:val="20"/>
          <w:szCs w:val="20"/>
        </w:rPr>
        <w:t>телят-нормотрофиков</w:t>
      </w:r>
      <w:proofErr w:type="spellEnd"/>
      <w:r>
        <w:rPr>
          <w:sz w:val="20"/>
          <w:szCs w:val="20"/>
        </w:rPr>
        <w:t>,</w:t>
      </w:r>
      <w:r w:rsidRPr="007713BB">
        <w:rPr>
          <w:sz w:val="20"/>
          <w:szCs w:val="20"/>
        </w:rPr>
        <w:t xml:space="preserve"> поскольку у них большая </w:t>
      </w:r>
      <w:r w:rsidRPr="007713BB">
        <w:rPr>
          <w:sz w:val="20"/>
          <w:szCs w:val="20"/>
          <w:lang w:val="be-BY"/>
        </w:rPr>
        <w:t>плотность микро</w:t>
      </w:r>
      <w:r w:rsidRPr="007713BB">
        <w:rPr>
          <w:sz w:val="20"/>
          <w:szCs w:val="20"/>
        </w:rPr>
        <w:t>ворсинок и наименьшее расстояние между н</w:t>
      </w:r>
      <w:r w:rsidRPr="007713BB">
        <w:rPr>
          <w:sz w:val="20"/>
          <w:szCs w:val="20"/>
        </w:rPr>
        <w:t>и</w:t>
      </w:r>
      <w:r w:rsidRPr="007713BB">
        <w:rPr>
          <w:sz w:val="20"/>
          <w:szCs w:val="20"/>
        </w:rPr>
        <w:t>ми.</w:t>
      </w:r>
    </w:p>
    <w:p w:rsidR="007D1BB6" w:rsidRPr="007713BB" w:rsidRDefault="007D1BB6" w:rsidP="007D1BB6">
      <w:pPr>
        <w:jc w:val="center"/>
        <w:rPr>
          <w:sz w:val="16"/>
          <w:szCs w:val="16"/>
        </w:rPr>
      </w:pPr>
      <w:r w:rsidRPr="007713BB">
        <w:rPr>
          <w:sz w:val="16"/>
          <w:szCs w:val="16"/>
        </w:rPr>
        <w:t>ЛИТЕРАТУРА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  <w:lang w:val="be-BY"/>
        </w:rPr>
      </w:pPr>
      <w:r w:rsidRPr="007713BB">
        <w:rPr>
          <w:sz w:val="16"/>
          <w:szCs w:val="16"/>
          <w:lang w:val="be-BY"/>
        </w:rPr>
        <w:t>Афанасьева, А.И. Показатели физиологически зрелых и незрелых телочек красной степной породы при разных условиях выращивания /А.И.Афанасьев, К.Н.Лотц //Зоотехния. –2009. –№ 5. –С. 19-21.</w:t>
      </w:r>
    </w:p>
    <w:p w:rsidR="007D1BB6" w:rsidRPr="007713BB" w:rsidRDefault="007D1BB6" w:rsidP="007D1BB6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autoSpaceDE w:val="0"/>
        <w:autoSpaceDN w:val="0"/>
        <w:adjustRightInd w:val="0"/>
        <w:ind w:left="0" w:firstLine="180"/>
        <w:jc w:val="both"/>
        <w:rPr>
          <w:sz w:val="16"/>
          <w:szCs w:val="16"/>
        </w:rPr>
      </w:pPr>
      <w:r w:rsidRPr="007713BB">
        <w:rPr>
          <w:sz w:val="16"/>
          <w:szCs w:val="16"/>
        </w:rPr>
        <w:t xml:space="preserve">Гомбоев, Д.Д. </w:t>
      </w:r>
      <w:proofErr w:type="spellStart"/>
      <w:r w:rsidRPr="007713BB">
        <w:rPr>
          <w:sz w:val="16"/>
          <w:szCs w:val="16"/>
        </w:rPr>
        <w:t>Неонатальная</w:t>
      </w:r>
      <w:proofErr w:type="spellEnd"/>
      <w:r w:rsidRPr="007713BB">
        <w:rPr>
          <w:sz w:val="16"/>
          <w:szCs w:val="16"/>
        </w:rPr>
        <w:t xml:space="preserve"> незрелость телят и её последствия /Д.Д.Гомбоев //Эпизоотология, диагностика, профилактика и меры бор</w:t>
      </w:r>
      <w:r w:rsidRPr="007713BB">
        <w:rPr>
          <w:sz w:val="16"/>
          <w:szCs w:val="16"/>
        </w:rPr>
        <w:t>ь</w:t>
      </w:r>
      <w:r w:rsidRPr="007713BB">
        <w:rPr>
          <w:sz w:val="16"/>
          <w:szCs w:val="16"/>
        </w:rPr>
        <w:t xml:space="preserve">бы с болезнями животных: сб. </w:t>
      </w:r>
      <w:proofErr w:type="spellStart"/>
      <w:r w:rsidRPr="007713BB">
        <w:rPr>
          <w:sz w:val="16"/>
          <w:szCs w:val="16"/>
        </w:rPr>
        <w:t>науч</w:t>
      </w:r>
      <w:proofErr w:type="spellEnd"/>
      <w:r w:rsidRPr="007713BB">
        <w:rPr>
          <w:sz w:val="16"/>
          <w:szCs w:val="16"/>
        </w:rPr>
        <w:t xml:space="preserve">. тр. </w:t>
      </w:r>
      <w:proofErr w:type="gramStart"/>
      <w:r w:rsidRPr="007713BB">
        <w:rPr>
          <w:sz w:val="16"/>
          <w:szCs w:val="16"/>
        </w:rPr>
        <w:t>–Н</w:t>
      </w:r>
      <w:proofErr w:type="gramEnd"/>
      <w:r w:rsidRPr="007713BB">
        <w:rPr>
          <w:sz w:val="16"/>
          <w:szCs w:val="16"/>
        </w:rPr>
        <w:t xml:space="preserve">овосибирск, 1997. –С. 340-341. 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  <w:lang w:val="be-BY"/>
        </w:rPr>
      </w:pPr>
      <w:r w:rsidRPr="007713BB">
        <w:rPr>
          <w:sz w:val="16"/>
          <w:szCs w:val="16"/>
          <w:lang w:val="be-BY"/>
        </w:rPr>
        <w:t>Ильин, П.А. К возрастной морфологии и гистохимии органов ротоглотки, пищевода и преджелудков у плодов крупного рогатого скота красной степной породы: автореф. дис. … канд. биол. наук /П.А.Ильин; Омский гос. вет. ин-т. –Омск, 1965. – 20 с.</w:t>
      </w:r>
    </w:p>
    <w:p w:rsidR="007D1BB6" w:rsidRPr="007713BB" w:rsidRDefault="007D1BB6" w:rsidP="007D1BB6">
      <w:pPr>
        <w:pStyle w:val="ab"/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7713BB">
        <w:rPr>
          <w:rFonts w:ascii="Times New Roman" w:hAnsi="Times New Roman"/>
          <w:sz w:val="16"/>
          <w:szCs w:val="16"/>
        </w:rPr>
        <w:t>Ильин, П.А. Морфофункциональная дифференциация тканей органов ротоглотки, пищевода и многокамерного ж</w:t>
      </w:r>
      <w:r w:rsidRPr="007713BB">
        <w:rPr>
          <w:rFonts w:ascii="Times New Roman" w:hAnsi="Times New Roman"/>
          <w:sz w:val="16"/>
          <w:szCs w:val="16"/>
        </w:rPr>
        <w:t>е</w:t>
      </w:r>
      <w:r w:rsidRPr="007713BB">
        <w:rPr>
          <w:rFonts w:ascii="Times New Roman" w:hAnsi="Times New Roman"/>
          <w:sz w:val="16"/>
          <w:szCs w:val="16"/>
        </w:rPr>
        <w:t xml:space="preserve">лудка крупного рогатого скота в онтогенезе: </w:t>
      </w:r>
      <w:proofErr w:type="spellStart"/>
      <w:r w:rsidRPr="007713BB">
        <w:rPr>
          <w:rFonts w:ascii="Times New Roman" w:hAnsi="Times New Roman"/>
          <w:sz w:val="16"/>
          <w:szCs w:val="16"/>
        </w:rPr>
        <w:t>автореф</w:t>
      </w:r>
      <w:proofErr w:type="spellEnd"/>
      <w:r w:rsidRPr="007713BB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7713BB">
        <w:rPr>
          <w:rFonts w:ascii="Times New Roman" w:hAnsi="Times New Roman"/>
          <w:sz w:val="16"/>
          <w:szCs w:val="16"/>
        </w:rPr>
        <w:t>дис</w:t>
      </w:r>
      <w:proofErr w:type="spellEnd"/>
      <w:r w:rsidRPr="007713BB">
        <w:rPr>
          <w:rFonts w:ascii="Times New Roman" w:hAnsi="Times New Roman"/>
          <w:sz w:val="16"/>
          <w:szCs w:val="16"/>
        </w:rPr>
        <w:t xml:space="preserve">. … </w:t>
      </w:r>
      <w:proofErr w:type="spellStart"/>
      <w:r w:rsidRPr="007713BB">
        <w:rPr>
          <w:rFonts w:ascii="Times New Roman" w:hAnsi="Times New Roman"/>
          <w:sz w:val="16"/>
          <w:szCs w:val="16"/>
        </w:rPr>
        <w:t>докт</w:t>
      </w:r>
      <w:proofErr w:type="spellEnd"/>
      <w:r w:rsidRPr="007713BB">
        <w:rPr>
          <w:rFonts w:ascii="Times New Roman" w:hAnsi="Times New Roman"/>
          <w:sz w:val="16"/>
          <w:szCs w:val="16"/>
        </w:rPr>
        <w:t xml:space="preserve">. биол. наук: 03.099 /П.А.Ильин; Омский </w:t>
      </w:r>
      <w:proofErr w:type="spellStart"/>
      <w:r w:rsidRPr="007713BB">
        <w:rPr>
          <w:rFonts w:ascii="Times New Roman" w:hAnsi="Times New Roman"/>
          <w:sz w:val="16"/>
          <w:szCs w:val="16"/>
        </w:rPr>
        <w:t>вет</w:t>
      </w:r>
      <w:proofErr w:type="spellEnd"/>
      <w:r w:rsidRPr="007713BB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7713BB">
        <w:rPr>
          <w:rFonts w:ascii="Times New Roman" w:hAnsi="Times New Roman"/>
          <w:sz w:val="16"/>
          <w:szCs w:val="16"/>
        </w:rPr>
        <w:t>ин-т</w:t>
      </w:r>
      <w:proofErr w:type="spellEnd"/>
      <w:r w:rsidRPr="007713BB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7713BB">
        <w:rPr>
          <w:rFonts w:ascii="Times New Roman" w:hAnsi="Times New Roman"/>
          <w:sz w:val="16"/>
          <w:szCs w:val="16"/>
        </w:rPr>
        <w:t>–О</w:t>
      </w:r>
      <w:proofErr w:type="gramEnd"/>
      <w:r w:rsidRPr="007713BB">
        <w:rPr>
          <w:rFonts w:ascii="Times New Roman" w:hAnsi="Times New Roman"/>
          <w:sz w:val="16"/>
          <w:szCs w:val="16"/>
        </w:rPr>
        <w:t>мск, 1972. – 43 с.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7713BB">
        <w:rPr>
          <w:sz w:val="16"/>
          <w:szCs w:val="16"/>
        </w:rPr>
        <w:t>Каврус</w:t>
      </w:r>
      <w:proofErr w:type="spellEnd"/>
      <w:r w:rsidRPr="007713BB">
        <w:rPr>
          <w:sz w:val="16"/>
          <w:szCs w:val="16"/>
        </w:rPr>
        <w:t xml:space="preserve">, М.А. Морфофункциональный статус </w:t>
      </w:r>
      <w:proofErr w:type="spellStart"/>
      <w:r w:rsidRPr="007713BB">
        <w:rPr>
          <w:sz w:val="16"/>
          <w:szCs w:val="16"/>
        </w:rPr>
        <w:t>телят-гипотрофиков</w:t>
      </w:r>
      <w:proofErr w:type="spellEnd"/>
      <w:r w:rsidRPr="007713BB">
        <w:rPr>
          <w:sz w:val="16"/>
          <w:szCs w:val="16"/>
        </w:rPr>
        <w:t xml:space="preserve"> и коррекция о</w:t>
      </w:r>
      <w:r w:rsidRPr="007713BB">
        <w:rPr>
          <w:sz w:val="16"/>
          <w:szCs w:val="16"/>
        </w:rPr>
        <w:t>б</w:t>
      </w:r>
      <w:r w:rsidRPr="007713BB">
        <w:rPr>
          <w:sz w:val="16"/>
          <w:szCs w:val="16"/>
        </w:rPr>
        <w:t xml:space="preserve">менных процессов с использованием </w:t>
      </w:r>
      <w:proofErr w:type="spellStart"/>
      <w:r w:rsidRPr="007713BB">
        <w:rPr>
          <w:sz w:val="16"/>
          <w:szCs w:val="16"/>
        </w:rPr>
        <w:t>катозала</w:t>
      </w:r>
      <w:proofErr w:type="spellEnd"/>
      <w:r w:rsidRPr="007713BB">
        <w:rPr>
          <w:sz w:val="16"/>
          <w:szCs w:val="16"/>
        </w:rPr>
        <w:t xml:space="preserve"> /</w:t>
      </w:r>
      <w:proofErr w:type="spellStart"/>
      <w:r w:rsidRPr="007713BB">
        <w:rPr>
          <w:sz w:val="16"/>
          <w:szCs w:val="16"/>
        </w:rPr>
        <w:t>М.А.Каврус</w:t>
      </w:r>
      <w:proofErr w:type="spellEnd"/>
      <w:r w:rsidRPr="007713BB">
        <w:rPr>
          <w:sz w:val="16"/>
          <w:szCs w:val="16"/>
        </w:rPr>
        <w:t xml:space="preserve">, </w:t>
      </w:r>
      <w:proofErr w:type="spellStart"/>
      <w:r w:rsidRPr="007713BB">
        <w:rPr>
          <w:sz w:val="16"/>
          <w:szCs w:val="16"/>
        </w:rPr>
        <w:t>Д.В.Малашко</w:t>
      </w:r>
      <w:proofErr w:type="spellEnd"/>
      <w:r w:rsidRPr="007713BB">
        <w:rPr>
          <w:sz w:val="16"/>
          <w:szCs w:val="16"/>
        </w:rPr>
        <w:t xml:space="preserve"> //Сельское хозя</w:t>
      </w:r>
      <w:r w:rsidRPr="007713BB">
        <w:rPr>
          <w:sz w:val="16"/>
          <w:szCs w:val="16"/>
        </w:rPr>
        <w:t>й</w:t>
      </w:r>
      <w:r w:rsidRPr="007713BB">
        <w:rPr>
          <w:sz w:val="16"/>
          <w:szCs w:val="16"/>
        </w:rPr>
        <w:t xml:space="preserve">ство - проблемы и перспективы: сб. </w:t>
      </w:r>
      <w:proofErr w:type="spellStart"/>
      <w:r w:rsidRPr="007713BB">
        <w:rPr>
          <w:sz w:val="16"/>
          <w:szCs w:val="16"/>
        </w:rPr>
        <w:t>науч</w:t>
      </w:r>
      <w:proofErr w:type="spellEnd"/>
      <w:r w:rsidRPr="007713BB">
        <w:rPr>
          <w:sz w:val="16"/>
          <w:szCs w:val="16"/>
        </w:rPr>
        <w:t>. тр. /</w:t>
      </w:r>
      <w:proofErr w:type="spellStart"/>
      <w:r w:rsidRPr="007713BB">
        <w:rPr>
          <w:sz w:val="16"/>
          <w:szCs w:val="16"/>
        </w:rPr>
        <w:t>Гродн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аграр</w:t>
      </w:r>
      <w:proofErr w:type="spellEnd"/>
      <w:r w:rsidRPr="007713BB">
        <w:rPr>
          <w:sz w:val="16"/>
          <w:szCs w:val="16"/>
        </w:rPr>
        <w:t xml:space="preserve">. ун-т. </w:t>
      </w:r>
      <w:proofErr w:type="gramStart"/>
      <w:r w:rsidRPr="007713BB">
        <w:rPr>
          <w:sz w:val="16"/>
          <w:szCs w:val="16"/>
        </w:rPr>
        <w:t>–Г</w:t>
      </w:r>
      <w:proofErr w:type="gramEnd"/>
      <w:r w:rsidRPr="007713BB">
        <w:rPr>
          <w:sz w:val="16"/>
          <w:szCs w:val="16"/>
        </w:rPr>
        <w:t>родно, 2008. –Т. 2. –С.54-62.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7713BB">
        <w:rPr>
          <w:sz w:val="16"/>
          <w:szCs w:val="16"/>
        </w:rPr>
        <w:t>Катаранов</w:t>
      </w:r>
      <w:proofErr w:type="spellEnd"/>
      <w:r w:rsidRPr="007713BB">
        <w:rPr>
          <w:sz w:val="16"/>
          <w:szCs w:val="16"/>
        </w:rPr>
        <w:t xml:space="preserve">, А.А. Клинико-иммунологическая характеристика новорожденных телят и </w:t>
      </w:r>
      <w:proofErr w:type="spellStart"/>
      <w:r w:rsidRPr="007713BB">
        <w:rPr>
          <w:sz w:val="16"/>
          <w:szCs w:val="16"/>
        </w:rPr>
        <w:t>немедикаментозные</w:t>
      </w:r>
      <w:proofErr w:type="spellEnd"/>
      <w:r w:rsidRPr="007713BB">
        <w:rPr>
          <w:sz w:val="16"/>
          <w:szCs w:val="16"/>
        </w:rPr>
        <w:t xml:space="preserve"> м</w:t>
      </w:r>
      <w:r w:rsidRPr="007713BB">
        <w:rPr>
          <w:sz w:val="16"/>
          <w:szCs w:val="16"/>
        </w:rPr>
        <w:t>е</w:t>
      </w:r>
      <w:r w:rsidRPr="007713BB">
        <w:rPr>
          <w:sz w:val="16"/>
          <w:szCs w:val="16"/>
        </w:rPr>
        <w:t xml:space="preserve">тоды коррекции у них иммунодефицита: </w:t>
      </w:r>
      <w:proofErr w:type="spellStart"/>
      <w:r w:rsidRPr="007713BB">
        <w:rPr>
          <w:sz w:val="16"/>
          <w:szCs w:val="16"/>
        </w:rPr>
        <w:t>автореф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дис</w:t>
      </w:r>
      <w:proofErr w:type="spellEnd"/>
      <w:r w:rsidRPr="007713BB">
        <w:rPr>
          <w:sz w:val="16"/>
          <w:szCs w:val="16"/>
        </w:rPr>
        <w:t xml:space="preserve">. … канд. </w:t>
      </w:r>
      <w:proofErr w:type="spellStart"/>
      <w:r w:rsidRPr="007713BB">
        <w:rPr>
          <w:sz w:val="16"/>
          <w:szCs w:val="16"/>
        </w:rPr>
        <w:t>вет</w:t>
      </w:r>
      <w:proofErr w:type="spellEnd"/>
      <w:r w:rsidRPr="007713BB">
        <w:rPr>
          <w:sz w:val="16"/>
          <w:szCs w:val="16"/>
        </w:rPr>
        <w:t>. наук: 16.00.07 /</w:t>
      </w:r>
      <w:proofErr w:type="spellStart"/>
      <w:r w:rsidRPr="007713BB">
        <w:rPr>
          <w:sz w:val="16"/>
          <w:szCs w:val="16"/>
        </w:rPr>
        <w:t>А.А.Катаранов</w:t>
      </w:r>
      <w:proofErr w:type="spellEnd"/>
      <w:r w:rsidRPr="007713BB">
        <w:rPr>
          <w:sz w:val="16"/>
          <w:szCs w:val="16"/>
        </w:rPr>
        <w:t xml:space="preserve">; </w:t>
      </w:r>
      <w:proofErr w:type="spellStart"/>
      <w:r w:rsidRPr="007713BB">
        <w:rPr>
          <w:sz w:val="16"/>
          <w:szCs w:val="16"/>
        </w:rPr>
        <w:t>Сарат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гос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аграр</w:t>
      </w:r>
      <w:proofErr w:type="spellEnd"/>
      <w:r w:rsidRPr="007713BB">
        <w:rPr>
          <w:sz w:val="16"/>
          <w:szCs w:val="16"/>
        </w:rPr>
        <w:t xml:space="preserve">. ун-т им. Н.И. Вавилова. </w:t>
      </w:r>
      <w:proofErr w:type="gramStart"/>
      <w:r w:rsidRPr="007713BB">
        <w:rPr>
          <w:sz w:val="16"/>
          <w:szCs w:val="16"/>
        </w:rPr>
        <w:t>–С</w:t>
      </w:r>
      <w:proofErr w:type="gramEnd"/>
      <w:r w:rsidRPr="007713BB">
        <w:rPr>
          <w:sz w:val="16"/>
          <w:szCs w:val="16"/>
        </w:rPr>
        <w:t>аратов, 2005. – 29 с.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7713BB">
        <w:rPr>
          <w:sz w:val="16"/>
          <w:szCs w:val="16"/>
        </w:rPr>
        <w:t>Криштофорова</w:t>
      </w:r>
      <w:proofErr w:type="spellEnd"/>
      <w:r w:rsidRPr="007713BB">
        <w:rPr>
          <w:sz w:val="16"/>
          <w:szCs w:val="16"/>
        </w:rPr>
        <w:t xml:space="preserve">, Б.В. Внутрикостные инъекции у телят с различной степенью </w:t>
      </w:r>
      <w:proofErr w:type="spellStart"/>
      <w:r w:rsidRPr="007713BB">
        <w:rPr>
          <w:sz w:val="16"/>
          <w:szCs w:val="16"/>
        </w:rPr>
        <w:t>прен</w:t>
      </w:r>
      <w:r w:rsidRPr="007713BB">
        <w:rPr>
          <w:sz w:val="16"/>
          <w:szCs w:val="16"/>
        </w:rPr>
        <w:t>а</w:t>
      </w:r>
      <w:r w:rsidRPr="007713BB">
        <w:rPr>
          <w:sz w:val="16"/>
          <w:szCs w:val="16"/>
        </w:rPr>
        <w:t>тального</w:t>
      </w:r>
      <w:proofErr w:type="spellEnd"/>
      <w:r w:rsidRPr="007713BB">
        <w:rPr>
          <w:sz w:val="16"/>
          <w:szCs w:val="16"/>
        </w:rPr>
        <w:t xml:space="preserve"> развития /</w:t>
      </w:r>
      <w:proofErr w:type="spellStart"/>
      <w:r w:rsidRPr="007713BB">
        <w:rPr>
          <w:sz w:val="16"/>
          <w:szCs w:val="16"/>
        </w:rPr>
        <w:t>Б.В.Криштофорова</w:t>
      </w:r>
      <w:proofErr w:type="spellEnd"/>
      <w:r w:rsidRPr="007713BB">
        <w:rPr>
          <w:sz w:val="16"/>
          <w:szCs w:val="16"/>
        </w:rPr>
        <w:t>, П.Н.</w:t>
      </w:r>
      <w:proofErr w:type="gramStart"/>
      <w:r w:rsidRPr="007713BB">
        <w:rPr>
          <w:sz w:val="16"/>
          <w:szCs w:val="16"/>
        </w:rPr>
        <w:t>Гаврилин</w:t>
      </w:r>
      <w:proofErr w:type="gramEnd"/>
      <w:r w:rsidRPr="007713BB">
        <w:rPr>
          <w:sz w:val="16"/>
          <w:szCs w:val="16"/>
        </w:rPr>
        <w:t xml:space="preserve"> //Ветер</w:t>
      </w:r>
      <w:r w:rsidRPr="007713BB">
        <w:rPr>
          <w:sz w:val="16"/>
          <w:szCs w:val="16"/>
        </w:rPr>
        <w:t>и</w:t>
      </w:r>
      <w:r w:rsidRPr="007713BB">
        <w:rPr>
          <w:sz w:val="16"/>
          <w:szCs w:val="16"/>
        </w:rPr>
        <w:t>нария.–2000. –№ 5. –С. 39-42.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7713BB">
        <w:rPr>
          <w:bCs/>
          <w:sz w:val="16"/>
          <w:szCs w:val="16"/>
        </w:rPr>
        <w:t>Криштофорова</w:t>
      </w:r>
      <w:proofErr w:type="spellEnd"/>
      <w:r w:rsidRPr="007713BB">
        <w:rPr>
          <w:bCs/>
          <w:sz w:val="16"/>
          <w:szCs w:val="16"/>
        </w:rPr>
        <w:t xml:space="preserve">, Б.В. </w:t>
      </w:r>
      <w:r w:rsidRPr="007713BB">
        <w:rPr>
          <w:sz w:val="16"/>
          <w:szCs w:val="16"/>
        </w:rPr>
        <w:t>Концепция этиологии недоразвития новорожденных телят и их ранней гибели /</w:t>
      </w:r>
      <w:proofErr w:type="spellStart"/>
      <w:r w:rsidRPr="007713BB">
        <w:rPr>
          <w:bCs/>
          <w:sz w:val="16"/>
          <w:szCs w:val="16"/>
        </w:rPr>
        <w:t>Б.В.Криштофорова</w:t>
      </w:r>
      <w:proofErr w:type="spellEnd"/>
      <w:r w:rsidRPr="007713BB">
        <w:rPr>
          <w:bCs/>
          <w:sz w:val="16"/>
          <w:szCs w:val="16"/>
        </w:rPr>
        <w:t xml:space="preserve">, </w:t>
      </w:r>
      <w:r w:rsidRPr="007713BB">
        <w:rPr>
          <w:sz w:val="16"/>
          <w:szCs w:val="16"/>
        </w:rPr>
        <w:t>И.В.Хрусталева //Агра</w:t>
      </w:r>
      <w:r w:rsidRPr="007713BB">
        <w:rPr>
          <w:sz w:val="16"/>
          <w:szCs w:val="16"/>
        </w:rPr>
        <w:t>р</w:t>
      </w:r>
      <w:r w:rsidRPr="007713BB">
        <w:rPr>
          <w:sz w:val="16"/>
          <w:szCs w:val="16"/>
        </w:rPr>
        <w:t>ная наука. –2000. –№ 5. –С. 23-24.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7713BB">
        <w:rPr>
          <w:sz w:val="16"/>
          <w:szCs w:val="16"/>
        </w:rPr>
        <w:t>Малашко</w:t>
      </w:r>
      <w:proofErr w:type="spellEnd"/>
      <w:r w:rsidRPr="007713BB">
        <w:rPr>
          <w:sz w:val="16"/>
          <w:szCs w:val="16"/>
        </w:rPr>
        <w:t>, В.В. Гипотрофия молодняка сельскохозяйственных животных и пути реализации компенсаторных возможностей организма /</w:t>
      </w:r>
      <w:proofErr w:type="spellStart"/>
      <w:r w:rsidRPr="007713BB">
        <w:rPr>
          <w:sz w:val="16"/>
          <w:szCs w:val="16"/>
        </w:rPr>
        <w:t>В.В.Малашко</w:t>
      </w:r>
      <w:proofErr w:type="spellEnd"/>
      <w:r w:rsidRPr="007713BB">
        <w:rPr>
          <w:sz w:val="16"/>
          <w:szCs w:val="16"/>
        </w:rPr>
        <w:t>, Н.В.Троцкая, Т.М.Скудная //Сельское хозяйство - проблемы и перспе</w:t>
      </w:r>
      <w:r w:rsidRPr="007713BB">
        <w:rPr>
          <w:sz w:val="16"/>
          <w:szCs w:val="16"/>
        </w:rPr>
        <w:t>к</w:t>
      </w:r>
      <w:r w:rsidRPr="007713BB">
        <w:rPr>
          <w:sz w:val="16"/>
          <w:szCs w:val="16"/>
        </w:rPr>
        <w:t xml:space="preserve">тивы: сб. </w:t>
      </w:r>
      <w:proofErr w:type="spellStart"/>
      <w:r w:rsidRPr="007713BB">
        <w:rPr>
          <w:sz w:val="16"/>
          <w:szCs w:val="16"/>
        </w:rPr>
        <w:t>науч</w:t>
      </w:r>
      <w:proofErr w:type="spellEnd"/>
      <w:r w:rsidRPr="007713BB">
        <w:rPr>
          <w:sz w:val="16"/>
          <w:szCs w:val="16"/>
        </w:rPr>
        <w:t>. тр. /</w:t>
      </w:r>
      <w:proofErr w:type="spellStart"/>
      <w:r w:rsidRPr="007713BB">
        <w:rPr>
          <w:sz w:val="16"/>
          <w:szCs w:val="16"/>
        </w:rPr>
        <w:t>Грод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гос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аграр</w:t>
      </w:r>
      <w:proofErr w:type="spellEnd"/>
      <w:r w:rsidRPr="007713BB">
        <w:rPr>
          <w:sz w:val="16"/>
          <w:szCs w:val="16"/>
        </w:rPr>
        <w:t xml:space="preserve">. ун-т. </w:t>
      </w:r>
      <w:proofErr w:type="gramStart"/>
      <w:r w:rsidRPr="007713BB">
        <w:rPr>
          <w:sz w:val="16"/>
          <w:szCs w:val="16"/>
        </w:rPr>
        <w:t>–Г</w:t>
      </w:r>
      <w:proofErr w:type="gramEnd"/>
      <w:r w:rsidRPr="007713BB">
        <w:rPr>
          <w:sz w:val="16"/>
          <w:szCs w:val="16"/>
        </w:rPr>
        <w:t>родно, 2005. –Т.4, ч.2. –С.98-101.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16"/>
          <w:szCs w:val="16"/>
        </w:rPr>
      </w:pPr>
      <w:r w:rsidRPr="007713BB">
        <w:rPr>
          <w:sz w:val="16"/>
          <w:szCs w:val="16"/>
        </w:rPr>
        <w:t>Саврасов, Д.А</w:t>
      </w:r>
      <w:r>
        <w:rPr>
          <w:sz w:val="16"/>
          <w:szCs w:val="16"/>
        </w:rPr>
        <w:t>.</w:t>
      </w:r>
      <w:r w:rsidRPr="007713BB">
        <w:rPr>
          <w:sz w:val="16"/>
          <w:szCs w:val="16"/>
        </w:rPr>
        <w:t xml:space="preserve"> Влияние </w:t>
      </w:r>
      <w:proofErr w:type="spellStart"/>
      <w:r w:rsidRPr="007713BB">
        <w:rPr>
          <w:sz w:val="16"/>
          <w:szCs w:val="16"/>
        </w:rPr>
        <w:t>тенториума</w:t>
      </w:r>
      <w:proofErr w:type="spellEnd"/>
      <w:r w:rsidRPr="007713BB">
        <w:rPr>
          <w:sz w:val="16"/>
          <w:szCs w:val="16"/>
        </w:rPr>
        <w:t xml:space="preserve"> плюс, </w:t>
      </w:r>
      <w:proofErr w:type="spellStart"/>
      <w:r w:rsidRPr="007713BB">
        <w:rPr>
          <w:sz w:val="16"/>
          <w:szCs w:val="16"/>
        </w:rPr>
        <w:t>ганасупервита</w:t>
      </w:r>
      <w:proofErr w:type="spellEnd"/>
      <w:r w:rsidRPr="007713BB">
        <w:rPr>
          <w:sz w:val="16"/>
          <w:szCs w:val="16"/>
        </w:rPr>
        <w:t xml:space="preserve">, </w:t>
      </w:r>
      <w:proofErr w:type="spellStart"/>
      <w:r w:rsidRPr="007713BB">
        <w:rPr>
          <w:sz w:val="16"/>
          <w:szCs w:val="16"/>
        </w:rPr>
        <w:t>седатина</w:t>
      </w:r>
      <w:proofErr w:type="spellEnd"/>
      <w:r w:rsidRPr="007713BB">
        <w:rPr>
          <w:sz w:val="16"/>
          <w:szCs w:val="16"/>
        </w:rPr>
        <w:t xml:space="preserve"> на клинико-гематологические показатели телят при антен</w:t>
      </w:r>
      <w:r w:rsidRPr="007713BB">
        <w:rPr>
          <w:sz w:val="16"/>
          <w:szCs w:val="16"/>
        </w:rPr>
        <w:t>а</w:t>
      </w:r>
      <w:r w:rsidRPr="007713BB">
        <w:rPr>
          <w:sz w:val="16"/>
          <w:szCs w:val="16"/>
        </w:rPr>
        <w:t xml:space="preserve">тальной гипотрофии: </w:t>
      </w:r>
      <w:proofErr w:type="spellStart"/>
      <w:r w:rsidRPr="007713BB">
        <w:rPr>
          <w:sz w:val="16"/>
          <w:szCs w:val="16"/>
        </w:rPr>
        <w:t>автореф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дис</w:t>
      </w:r>
      <w:proofErr w:type="spellEnd"/>
      <w:r w:rsidRPr="007713BB">
        <w:rPr>
          <w:sz w:val="16"/>
          <w:szCs w:val="16"/>
        </w:rPr>
        <w:t xml:space="preserve">. … канд. </w:t>
      </w:r>
      <w:proofErr w:type="spellStart"/>
      <w:r w:rsidRPr="007713BB">
        <w:rPr>
          <w:sz w:val="16"/>
          <w:szCs w:val="16"/>
        </w:rPr>
        <w:t>вет</w:t>
      </w:r>
      <w:proofErr w:type="spellEnd"/>
      <w:r w:rsidRPr="007713BB">
        <w:rPr>
          <w:sz w:val="16"/>
          <w:szCs w:val="16"/>
        </w:rPr>
        <w:t xml:space="preserve">. наук: 16.00.01. / Д.А. Саврасов; </w:t>
      </w:r>
      <w:proofErr w:type="spellStart"/>
      <w:r w:rsidRPr="007713BB">
        <w:rPr>
          <w:sz w:val="16"/>
          <w:szCs w:val="16"/>
        </w:rPr>
        <w:t>Всеросс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науч</w:t>
      </w:r>
      <w:proofErr w:type="gramStart"/>
      <w:r w:rsidRPr="007713BB">
        <w:rPr>
          <w:sz w:val="16"/>
          <w:szCs w:val="16"/>
        </w:rPr>
        <w:t>.-</w:t>
      </w:r>
      <w:proofErr w:type="gramEnd"/>
      <w:r w:rsidRPr="007713BB">
        <w:rPr>
          <w:sz w:val="16"/>
          <w:szCs w:val="16"/>
        </w:rPr>
        <w:t>иссл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вет</w:t>
      </w:r>
      <w:proofErr w:type="spellEnd"/>
      <w:r w:rsidRPr="007713BB">
        <w:rPr>
          <w:sz w:val="16"/>
          <w:szCs w:val="16"/>
        </w:rPr>
        <w:t xml:space="preserve">. </w:t>
      </w:r>
      <w:proofErr w:type="spellStart"/>
      <w:r w:rsidRPr="007713BB">
        <w:rPr>
          <w:sz w:val="16"/>
          <w:szCs w:val="16"/>
        </w:rPr>
        <w:t>ин-т</w:t>
      </w:r>
      <w:proofErr w:type="spellEnd"/>
      <w:r w:rsidRPr="007713BB">
        <w:rPr>
          <w:sz w:val="16"/>
          <w:szCs w:val="16"/>
        </w:rPr>
        <w:t xml:space="preserve"> патологии, фа</w:t>
      </w:r>
      <w:r w:rsidRPr="007713BB">
        <w:rPr>
          <w:sz w:val="16"/>
          <w:szCs w:val="16"/>
        </w:rPr>
        <w:t>р</w:t>
      </w:r>
      <w:r w:rsidRPr="007713BB">
        <w:rPr>
          <w:sz w:val="16"/>
          <w:szCs w:val="16"/>
        </w:rPr>
        <w:t>макологии и терапии. – В</w:t>
      </w:r>
      <w:r w:rsidRPr="007713BB">
        <w:rPr>
          <w:sz w:val="16"/>
          <w:szCs w:val="16"/>
        </w:rPr>
        <w:t>о</w:t>
      </w:r>
      <w:r w:rsidRPr="007713BB">
        <w:rPr>
          <w:sz w:val="16"/>
          <w:szCs w:val="16"/>
        </w:rPr>
        <w:t xml:space="preserve">ронеж, 2003. – 20 </w:t>
      </w:r>
      <w:proofErr w:type="gramStart"/>
      <w:r w:rsidRPr="007713BB">
        <w:rPr>
          <w:sz w:val="16"/>
          <w:szCs w:val="16"/>
        </w:rPr>
        <w:t>с</w:t>
      </w:r>
      <w:proofErr w:type="gramEnd"/>
      <w:r w:rsidRPr="007713BB">
        <w:rPr>
          <w:sz w:val="16"/>
          <w:szCs w:val="16"/>
        </w:rPr>
        <w:t xml:space="preserve">. 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bCs/>
          <w:sz w:val="16"/>
          <w:szCs w:val="16"/>
        </w:rPr>
      </w:pPr>
      <w:r w:rsidRPr="007713BB">
        <w:rPr>
          <w:bCs/>
          <w:sz w:val="16"/>
          <w:szCs w:val="16"/>
        </w:rPr>
        <w:t xml:space="preserve">Ульянов, В.Г. </w:t>
      </w:r>
      <w:r w:rsidRPr="007713BB">
        <w:rPr>
          <w:sz w:val="16"/>
          <w:szCs w:val="16"/>
        </w:rPr>
        <w:t>Морфогенез органов пищеварения телят в онтогенезе, норме и пат</w:t>
      </w:r>
      <w:r w:rsidRPr="007713BB">
        <w:rPr>
          <w:sz w:val="16"/>
          <w:szCs w:val="16"/>
        </w:rPr>
        <w:t>о</w:t>
      </w:r>
      <w:r w:rsidRPr="007713BB">
        <w:rPr>
          <w:sz w:val="16"/>
          <w:szCs w:val="16"/>
        </w:rPr>
        <w:t xml:space="preserve">логии /В.Г.Ульянов //Диагностика и профилактика болезней с.-х. животных: сб. </w:t>
      </w:r>
      <w:proofErr w:type="spellStart"/>
      <w:r w:rsidRPr="007713BB">
        <w:rPr>
          <w:sz w:val="16"/>
          <w:szCs w:val="16"/>
        </w:rPr>
        <w:t>науч</w:t>
      </w:r>
      <w:proofErr w:type="spellEnd"/>
      <w:r w:rsidRPr="007713BB">
        <w:rPr>
          <w:sz w:val="16"/>
          <w:szCs w:val="16"/>
        </w:rPr>
        <w:t xml:space="preserve">. тр. </w:t>
      </w:r>
      <w:proofErr w:type="gramStart"/>
      <w:r w:rsidRPr="007713BB">
        <w:rPr>
          <w:sz w:val="16"/>
          <w:szCs w:val="16"/>
        </w:rPr>
        <w:t>–С</w:t>
      </w:r>
      <w:proofErr w:type="gramEnd"/>
      <w:r w:rsidRPr="007713BB">
        <w:rPr>
          <w:sz w:val="16"/>
          <w:szCs w:val="16"/>
        </w:rPr>
        <w:t>аратов, 1992. –С. 64-66.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16"/>
          <w:szCs w:val="16"/>
        </w:rPr>
      </w:pPr>
      <w:r w:rsidRPr="007713BB">
        <w:rPr>
          <w:bCs/>
          <w:sz w:val="16"/>
          <w:szCs w:val="16"/>
        </w:rPr>
        <w:t xml:space="preserve">Ульянов, В.Г. </w:t>
      </w:r>
      <w:r w:rsidRPr="007713BB">
        <w:rPr>
          <w:sz w:val="16"/>
          <w:szCs w:val="16"/>
        </w:rPr>
        <w:t xml:space="preserve">Морфометрия слизистой оболочки желудочно-кишечного тракта у </w:t>
      </w:r>
      <w:proofErr w:type="spellStart"/>
      <w:r w:rsidRPr="007713BB">
        <w:rPr>
          <w:sz w:val="16"/>
          <w:szCs w:val="16"/>
        </w:rPr>
        <w:t>телят-гипотрофиков</w:t>
      </w:r>
      <w:proofErr w:type="spellEnd"/>
      <w:r w:rsidRPr="007713BB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</w:t>
      </w:r>
      <w:r w:rsidRPr="007713BB">
        <w:rPr>
          <w:sz w:val="16"/>
          <w:szCs w:val="16"/>
        </w:rPr>
        <w:t>В.Г.</w:t>
      </w:r>
      <w:r>
        <w:rPr>
          <w:sz w:val="16"/>
          <w:szCs w:val="16"/>
        </w:rPr>
        <w:t xml:space="preserve"> </w:t>
      </w:r>
      <w:r w:rsidRPr="007713BB">
        <w:rPr>
          <w:sz w:val="16"/>
          <w:szCs w:val="16"/>
        </w:rPr>
        <w:t xml:space="preserve">Ульянов //Диагностика, </w:t>
      </w:r>
      <w:proofErr w:type="spellStart"/>
      <w:r w:rsidRPr="007713BB">
        <w:rPr>
          <w:sz w:val="16"/>
          <w:szCs w:val="16"/>
        </w:rPr>
        <w:t>патоморфология</w:t>
      </w:r>
      <w:proofErr w:type="spellEnd"/>
      <w:r w:rsidRPr="007713BB">
        <w:rPr>
          <w:sz w:val="16"/>
          <w:szCs w:val="16"/>
        </w:rPr>
        <w:t xml:space="preserve">, патогенез и профилактика болезней в </w:t>
      </w:r>
      <w:proofErr w:type="spellStart"/>
      <w:r w:rsidRPr="007713BB">
        <w:rPr>
          <w:sz w:val="16"/>
          <w:szCs w:val="16"/>
        </w:rPr>
        <w:t>пром</w:t>
      </w:r>
      <w:proofErr w:type="spellEnd"/>
      <w:r w:rsidRPr="007713BB">
        <w:rPr>
          <w:sz w:val="16"/>
          <w:szCs w:val="16"/>
        </w:rPr>
        <w:t>. живо</w:t>
      </w:r>
      <w:r w:rsidRPr="007713BB">
        <w:rPr>
          <w:sz w:val="16"/>
          <w:szCs w:val="16"/>
        </w:rPr>
        <w:t>т</w:t>
      </w:r>
      <w:r w:rsidRPr="007713BB">
        <w:rPr>
          <w:sz w:val="16"/>
          <w:szCs w:val="16"/>
        </w:rPr>
        <w:t xml:space="preserve">новодстве: сб. </w:t>
      </w:r>
      <w:proofErr w:type="spellStart"/>
      <w:r w:rsidRPr="007713BB">
        <w:rPr>
          <w:sz w:val="16"/>
          <w:szCs w:val="16"/>
        </w:rPr>
        <w:t>науч</w:t>
      </w:r>
      <w:proofErr w:type="spellEnd"/>
      <w:r w:rsidRPr="007713BB">
        <w:rPr>
          <w:sz w:val="16"/>
          <w:szCs w:val="16"/>
        </w:rPr>
        <w:t>. тр. –</w:t>
      </w:r>
      <w:r>
        <w:rPr>
          <w:sz w:val="16"/>
          <w:szCs w:val="16"/>
        </w:rPr>
        <w:t xml:space="preserve"> </w:t>
      </w:r>
      <w:r w:rsidRPr="007713BB">
        <w:rPr>
          <w:sz w:val="16"/>
          <w:szCs w:val="16"/>
        </w:rPr>
        <w:t>Саратов, 1990. –Ч. 1. –</w:t>
      </w:r>
      <w:r>
        <w:rPr>
          <w:sz w:val="16"/>
          <w:szCs w:val="16"/>
        </w:rPr>
        <w:t xml:space="preserve"> </w:t>
      </w:r>
      <w:r w:rsidRPr="007713BB">
        <w:rPr>
          <w:sz w:val="16"/>
          <w:szCs w:val="16"/>
        </w:rPr>
        <w:t xml:space="preserve">С. 45-46. </w:t>
      </w:r>
    </w:p>
    <w:p w:rsidR="007D1BB6" w:rsidRPr="007713BB" w:rsidRDefault="007D1BB6" w:rsidP="007D1BB6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16"/>
          <w:szCs w:val="16"/>
          <w:lang w:val="en-US"/>
        </w:rPr>
      </w:pPr>
      <w:proofErr w:type="spellStart"/>
      <w:r w:rsidRPr="007713BB">
        <w:rPr>
          <w:sz w:val="16"/>
          <w:szCs w:val="16"/>
          <w:lang w:val="en-US"/>
        </w:rPr>
        <w:t>Asari</w:t>
      </w:r>
      <w:proofErr w:type="spellEnd"/>
      <w:r w:rsidRPr="007713BB">
        <w:rPr>
          <w:sz w:val="16"/>
          <w:szCs w:val="16"/>
          <w:lang w:val="en-US"/>
        </w:rPr>
        <w:t xml:space="preserve">, M. Fine structure of developing gastric </w:t>
      </w:r>
      <w:proofErr w:type="spellStart"/>
      <w:r w:rsidRPr="007713BB">
        <w:rPr>
          <w:sz w:val="16"/>
          <w:szCs w:val="16"/>
          <w:lang w:val="en-US"/>
        </w:rPr>
        <w:t>harietal</w:t>
      </w:r>
      <w:proofErr w:type="spellEnd"/>
      <w:r w:rsidRPr="007713BB">
        <w:rPr>
          <w:sz w:val="16"/>
          <w:szCs w:val="16"/>
          <w:lang w:val="en-US"/>
        </w:rPr>
        <w:t xml:space="preserve"> cells in the bovine abom</w:t>
      </w:r>
      <w:r w:rsidRPr="007713BB">
        <w:rPr>
          <w:sz w:val="16"/>
          <w:szCs w:val="16"/>
          <w:lang w:val="en-US"/>
        </w:rPr>
        <w:t>a</w:t>
      </w:r>
      <w:r w:rsidRPr="007713BB">
        <w:rPr>
          <w:sz w:val="16"/>
          <w:szCs w:val="16"/>
          <w:lang w:val="en-US"/>
        </w:rPr>
        <w:t>sums /</w:t>
      </w:r>
      <w:proofErr w:type="spellStart"/>
      <w:r w:rsidRPr="007713BB">
        <w:rPr>
          <w:sz w:val="16"/>
          <w:szCs w:val="16"/>
          <w:lang w:val="en-US"/>
        </w:rPr>
        <w:t>M.Asari</w:t>
      </w:r>
      <w:proofErr w:type="spellEnd"/>
      <w:r w:rsidRPr="007713BB">
        <w:rPr>
          <w:sz w:val="16"/>
          <w:szCs w:val="16"/>
          <w:lang w:val="en-US"/>
        </w:rPr>
        <w:t xml:space="preserve">, </w:t>
      </w:r>
      <w:proofErr w:type="spellStart"/>
      <w:r w:rsidRPr="007713BB">
        <w:rPr>
          <w:sz w:val="16"/>
          <w:szCs w:val="16"/>
          <w:lang w:val="en-US"/>
        </w:rPr>
        <w:t>K.Fukaya</w:t>
      </w:r>
      <w:proofErr w:type="spellEnd"/>
      <w:r w:rsidRPr="007713BB">
        <w:rPr>
          <w:sz w:val="16"/>
          <w:szCs w:val="16"/>
          <w:lang w:val="en-US"/>
        </w:rPr>
        <w:t xml:space="preserve">, </w:t>
      </w:r>
      <w:proofErr w:type="spellStart"/>
      <w:r w:rsidRPr="007713BB">
        <w:rPr>
          <w:sz w:val="16"/>
          <w:szCs w:val="16"/>
          <w:lang w:val="en-US"/>
        </w:rPr>
        <w:t>V.Kano</w:t>
      </w:r>
      <w:proofErr w:type="spellEnd"/>
      <w:r w:rsidRPr="007713BB">
        <w:rPr>
          <w:sz w:val="16"/>
          <w:szCs w:val="16"/>
          <w:lang w:val="en-US"/>
        </w:rPr>
        <w:t xml:space="preserve"> //Res. Vet. Sci. –1984. –</w:t>
      </w:r>
      <w:proofErr w:type="spellStart"/>
      <w:r w:rsidRPr="007713BB">
        <w:rPr>
          <w:sz w:val="16"/>
          <w:szCs w:val="16"/>
          <w:lang w:val="en-US"/>
        </w:rPr>
        <w:t>Vol</w:t>
      </w:r>
      <w:proofErr w:type="spellEnd"/>
      <w:r w:rsidRPr="007713BB">
        <w:rPr>
          <w:sz w:val="16"/>
          <w:szCs w:val="16"/>
          <w:lang w:val="be-BY"/>
        </w:rPr>
        <w:t>.</w:t>
      </w:r>
      <w:r w:rsidRPr="007713BB">
        <w:rPr>
          <w:sz w:val="16"/>
          <w:szCs w:val="16"/>
          <w:lang w:val="en-US"/>
        </w:rPr>
        <w:t xml:space="preserve"> 36, </w:t>
      </w:r>
      <w:r w:rsidRPr="007713BB">
        <w:rPr>
          <w:sz w:val="16"/>
          <w:szCs w:val="16"/>
          <w:lang w:val="be-BY"/>
        </w:rPr>
        <w:t>№</w:t>
      </w:r>
      <w:r w:rsidRPr="007713BB">
        <w:rPr>
          <w:sz w:val="16"/>
          <w:szCs w:val="16"/>
          <w:lang w:val="en-US"/>
        </w:rPr>
        <w:t>. –P</w:t>
      </w:r>
      <w:r w:rsidRPr="007713BB">
        <w:rPr>
          <w:sz w:val="16"/>
          <w:szCs w:val="16"/>
          <w:lang w:val="be-BY"/>
        </w:rPr>
        <w:t>. 127-128.</w:t>
      </w:r>
    </w:p>
    <w:p w:rsidR="007D1BB6" w:rsidRPr="007D1BB6" w:rsidRDefault="007D1BB6" w:rsidP="007D1BB6">
      <w:pPr>
        <w:spacing w:after="60"/>
        <w:rPr>
          <w:sz w:val="20"/>
          <w:szCs w:val="20"/>
          <w:lang w:val="en-US"/>
        </w:rPr>
      </w:pPr>
    </w:p>
    <w:p w:rsidR="0068764B" w:rsidRPr="007D1BB6" w:rsidRDefault="0068764B" w:rsidP="00A2143F">
      <w:pPr>
        <w:rPr>
          <w:lang w:val="en-US"/>
        </w:rPr>
      </w:pPr>
    </w:p>
    <w:sectPr w:rsidR="0068764B" w:rsidRPr="007D1BB6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2BE5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2301</Words>
  <Characters>13119</Characters>
  <Application>Microsoft Office Word</Application>
  <DocSecurity>0</DocSecurity>
  <Lines>109</Lines>
  <Paragraphs>30</Paragraphs>
  <ScaleCrop>false</ScaleCrop>
  <Company>Microsoft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2013-03-14T13:09:00Z</dcterms:created>
  <dcterms:modified xsi:type="dcterms:W3CDTF">2013-03-14T13:09:00Z</dcterms:modified>
</cp:coreProperties>
</file>