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D6" w:rsidRPr="00753C36" w:rsidRDefault="005368D6" w:rsidP="005368D6">
      <w:pPr>
        <w:spacing w:after="60"/>
        <w:rPr>
          <w:sz w:val="20"/>
          <w:szCs w:val="20"/>
        </w:rPr>
      </w:pPr>
      <w:r w:rsidRPr="00614F22">
        <w:rPr>
          <w:sz w:val="20"/>
          <w:szCs w:val="20"/>
        </w:rPr>
        <w:t xml:space="preserve">УДК </w:t>
      </w:r>
      <w:r w:rsidRPr="00753C36">
        <w:rPr>
          <w:sz w:val="20"/>
          <w:szCs w:val="20"/>
        </w:rPr>
        <w:t>619:612.11:616.34-008.314:636.4.053</w:t>
      </w:r>
    </w:p>
    <w:p w:rsidR="005368D6" w:rsidRPr="00AD0A29" w:rsidRDefault="005368D6" w:rsidP="005368D6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показатели Обмена железа у пор</w:t>
      </w:r>
      <w:r>
        <w:rPr>
          <w:b/>
          <w:caps/>
          <w:sz w:val="20"/>
          <w:szCs w:val="20"/>
        </w:rPr>
        <w:t>о</w:t>
      </w:r>
      <w:r>
        <w:rPr>
          <w:b/>
          <w:caps/>
          <w:sz w:val="20"/>
          <w:szCs w:val="20"/>
        </w:rPr>
        <w:t>сят-отъемышей при болезнях желудочно-кишечного тра</w:t>
      </w:r>
      <w:r>
        <w:rPr>
          <w:b/>
          <w:caps/>
          <w:sz w:val="20"/>
          <w:szCs w:val="20"/>
        </w:rPr>
        <w:t>к</w:t>
      </w:r>
      <w:r>
        <w:rPr>
          <w:b/>
          <w:caps/>
          <w:sz w:val="20"/>
          <w:szCs w:val="20"/>
        </w:rPr>
        <w:t>та с признаками диареи</w:t>
      </w:r>
    </w:p>
    <w:p w:rsidR="005368D6" w:rsidRPr="00162512" w:rsidRDefault="005368D6" w:rsidP="005368D6">
      <w:pPr>
        <w:spacing w:before="60" w:after="60"/>
        <w:rPr>
          <w:b/>
          <w:sz w:val="20"/>
          <w:szCs w:val="20"/>
        </w:rPr>
      </w:pPr>
      <w:r w:rsidRPr="00162512">
        <w:rPr>
          <w:b/>
          <w:sz w:val="20"/>
          <w:szCs w:val="20"/>
        </w:rPr>
        <w:t xml:space="preserve">А.В. Сенько, Д.В. Воронов </w:t>
      </w:r>
    </w:p>
    <w:p w:rsidR="005368D6" w:rsidRPr="00614F22" w:rsidRDefault="005368D6" w:rsidP="005368D6">
      <w:pPr>
        <w:rPr>
          <w:sz w:val="20"/>
          <w:szCs w:val="20"/>
        </w:rPr>
      </w:pPr>
      <w:r w:rsidRPr="00614F22">
        <w:rPr>
          <w:sz w:val="20"/>
          <w:szCs w:val="20"/>
        </w:rPr>
        <w:t>УО «Гродненский государственный аграрный университет»,</w:t>
      </w:r>
    </w:p>
    <w:p w:rsidR="005368D6" w:rsidRDefault="005368D6" w:rsidP="005368D6">
      <w:pPr>
        <w:rPr>
          <w:sz w:val="20"/>
          <w:szCs w:val="20"/>
        </w:rPr>
      </w:pPr>
      <w:r w:rsidRPr="00614F22">
        <w:rPr>
          <w:sz w:val="20"/>
          <w:szCs w:val="20"/>
        </w:rPr>
        <w:t>г. Гродно, Республика Беларусь</w:t>
      </w:r>
    </w:p>
    <w:p w:rsidR="005368D6" w:rsidRDefault="005368D6" w:rsidP="005368D6">
      <w:pPr>
        <w:rPr>
          <w:sz w:val="20"/>
          <w:szCs w:val="20"/>
        </w:rPr>
      </w:pPr>
    </w:p>
    <w:p w:rsidR="005368D6" w:rsidRDefault="005368D6" w:rsidP="005368D6">
      <w:pPr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27.05.2010 г.)</w:t>
      </w:r>
    </w:p>
    <w:p w:rsidR="005368D6" w:rsidRPr="00614F22" w:rsidRDefault="005368D6" w:rsidP="005368D6">
      <w:pPr>
        <w:rPr>
          <w:sz w:val="20"/>
          <w:szCs w:val="20"/>
        </w:rPr>
      </w:pPr>
    </w:p>
    <w:p w:rsidR="005368D6" w:rsidRPr="00BD469A" w:rsidRDefault="005368D6" w:rsidP="005368D6">
      <w:pPr>
        <w:ind w:firstLine="284"/>
        <w:jc w:val="both"/>
        <w:rPr>
          <w:i/>
          <w:sz w:val="16"/>
          <w:szCs w:val="16"/>
        </w:rPr>
      </w:pPr>
      <w:r w:rsidRPr="00B076B2">
        <w:rPr>
          <w:b/>
          <w:i/>
          <w:sz w:val="16"/>
          <w:szCs w:val="16"/>
        </w:rPr>
        <w:t>Аннотация</w:t>
      </w:r>
      <w:r w:rsidRPr="00DA6177">
        <w:rPr>
          <w:b/>
          <w:sz w:val="16"/>
          <w:szCs w:val="16"/>
        </w:rPr>
        <w:t>.</w:t>
      </w:r>
      <w:r w:rsidRPr="00614F22">
        <w:rPr>
          <w:sz w:val="20"/>
          <w:szCs w:val="20"/>
        </w:rPr>
        <w:t xml:space="preserve"> </w:t>
      </w:r>
      <w:r w:rsidRPr="00400A22">
        <w:rPr>
          <w:i/>
          <w:sz w:val="16"/>
          <w:szCs w:val="16"/>
        </w:rPr>
        <w:t>В статье представлены результаты изуче</w:t>
      </w:r>
      <w:r>
        <w:rPr>
          <w:i/>
          <w:sz w:val="16"/>
          <w:szCs w:val="16"/>
        </w:rPr>
        <w:t xml:space="preserve">ния показателей обмена железа у </w:t>
      </w:r>
      <w:r w:rsidRPr="00400A22">
        <w:rPr>
          <w:i/>
          <w:sz w:val="16"/>
          <w:szCs w:val="16"/>
        </w:rPr>
        <w:t>поросят при экспериментально воспроизведенной патологии пищеварительного тракта с признаками диареи.</w:t>
      </w:r>
      <w:r w:rsidRPr="00BD469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У экспериментальных поросят регистрировали сниж</w:t>
      </w:r>
      <w:r>
        <w:rPr>
          <w:i/>
          <w:sz w:val="16"/>
          <w:szCs w:val="16"/>
        </w:rPr>
        <w:t>е</w:t>
      </w:r>
      <w:r>
        <w:rPr>
          <w:i/>
          <w:sz w:val="16"/>
          <w:szCs w:val="16"/>
        </w:rPr>
        <w:t>ние уровня сывороточного железа, коэффициента насыщения трансферрина и увелич</w:t>
      </w:r>
      <w:r>
        <w:rPr>
          <w:i/>
          <w:sz w:val="16"/>
          <w:szCs w:val="16"/>
        </w:rPr>
        <w:t>е</w:t>
      </w:r>
      <w:r>
        <w:rPr>
          <w:i/>
          <w:sz w:val="16"/>
          <w:szCs w:val="16"/>
        </w:rPr>
        <w:t>ния общей и латентной железосвязывающей способности с</w:t>
      </w:r>
      <w:r>
        <w:rPr>
          <w:i/>
          <w:sz w:val="16"/>
          <w:szCs w:val="16"/>
        </w:rPr>
        <w:t>ы</w:t>
      </w:r>
      <w:r>
        <w:rPr>
          <w:i/>
          <w:sz w:val="16"/>
          <w:szCs w:val="16"/>
        </w:rPr>
        <w:t>воротки крови.</w:t>
      </w:r>
    </w:p>
    <w:p w:rsidR="005368D6" w:rsidRPr="00834D95" w:rsidRDefault="005368D6" w:rsidP="005368D6">
      <w:pPr>
        <w:ind w:firstLine="284"/>
        <w:jc w:val="both"/>
        <w:rPr>
          <w:rFonts w:ascii="Times New Roman CYR" w:hAnsi="Times New Roman CYR" w:cs="Times New Roman CYR"/>
          <w:i/>
          <w:sz w:val="16"/>
          <w:szCs w:val="16"/>
          <w:lang w:val="en-US"/>
        </w:rPr>
      </w:pPr>
      <w:proofErr w:type="gramStart"/>
      <w:r w:rsidRPr="00B076B2">
        <w:rPr>
          <w:rFonts w:ascii="Times New Roman CYR" w:hAnsi="Times New Roman CYR" w:cs="Times New Roman CYR"/>
          <w:b/>
          <w:i/>
          <w:sz w:val="16"/>
          <w:szCs w:val="16"/>
          <w:lang w:val="en-US"/>
        </w:rPr>
        <w:t>Summary.</w:t>
      </w:r>
      <w:proofErr w:type="gramEnd"/>
      <w:r w:rsidRPr="000841A1">
        <w:rPr>
          <w:rFonts w:ascii="Times New Roman CYR" w:hAnsi="Times New Roman CYR" w:cs="Times New Roman CYR"/>
          <w:b/>
          <w:sz w:val="16"/>
          <w:szCs w:val="16"/>
          <w:lang w:val="en-US"/>
        </w:rPr>
        <w:t xml:space="preserve"> 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The article 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deals with</w:t>
      </w:r>
      <w:r w:rsidRPr="00834D95">
        <w:rPr>
          <w:i/>
          <w:sz w:val="16"/>
          <w:szCs w:val="16"/>
          <w:lang w:val="en-US"/>
        </w:rPr>
        <w:t xml:space="preserve"> 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>results of the study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 of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 iron metabolism 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indexes 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>in piglets with experimenta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l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>l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y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 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morbidized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 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p</w:t>
      </w:r>
      <w:r w:rsidRPr="00834D95">
        <w:rPr>
          <w:rFonts w:ascii="Times New Roman CYR" w:hAnsi="Times New Roman CYR" w:cs="Times New Roman CYR"/>
          <w:i/>
          <w:sz w:val="16"/>
          <w:szCs w:val="16"/>
          <w:lang w:val="en-US"/>
        </w:rPr>
        <w:t>athology of the digestive tract with diarrhea symptoms.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 In the e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x</w:t>
      </w:r>
      <w:r>
        <w:rPr>
          <w:rFonts w:ascii="Times New Roman CYR" w:hAnsi="Times New Roman CYR" w:cs="Times New Roman CYR"/>
          <w:i/>
          <w:sz w:val="16"/>
          <w:szCs w:val="16"/>
          <w:lang w:val="en-US"/>
        </w:rPr>
        <w:t>perimental piglets we determined the decline of serum iron level, transferring saturation ratio and the increase in the total had latent iron-binding capacity of serum.</w:t>
      </w:r>
    </w:p>
    <w:p w:rsidR="005368D6" w:rsidRDefault="005368D6" w:rsidP="005368D6">
      <w:pPr>
        <w:ind w:firstLine="284"/>
        <w:jc w:val="both"/>
        <w:rPr>
          <w:sz w:val="20"/>
          <w:szCs w:val="20"/>
        </w:rPr>
      </w:pPr>
      <w:r w:rsidRPr="00DA6177">
        <w:rPr>
          <w:b/>
          <w:sz w:val="20"/>
          <w:szCs w:val="20"/>
        </w:rPr>
        <w:t>Введение.</w:t>
      </w:r>
      <w:r w:rsidRPr="00614F22">
        <w:rPr>
          <w:sz w:val="20"/>
          <w:szCs w:val="20"/>
        </w:rPr>
        <w:t xml:space="preserve"> </w:t>
      </w:r>
      <w:r w:rsidRPr="004B576A">
        <w:rPr>
          <w:sz w:val="20"/>
          <w:szCs w:val="20"/>
        </w:rPr>
        <w:t>В структуре заболеваний животных на свиноводческих комплексах основное место занимают болезни пищеварительной сис</w:t>
      </w:r>
      <w:r>
        <w:rPr>
          <w:sz w:val="20"/>
          <w:szCs w:val="20"/>
        </w:rPr>
        <w:t>темы и в первую очередь</w:t>
      </w:r>
      <w:r w:rsidRPr="004B576A">
        <w:rPr>
          <w:sz w:val="20"/>
          <w:szCs w:val="20"/>
        </w:rPr>
        <w:t xml:space="preserve"> среди поросят-отъемышей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B076B2">
        <w:rPr>
          <w:sz w:val="20"/>
          <w:szCs w:val="20"/>
        </w:rPr>
        <w:t>]</w:t>
      </w:r>
      <w:r w:rsidRPr="00014A39">
        <w:rPr>
          <w:sz w:val="20"/>
          <w:szCs w:val="20"/>
        </w:rPr>
        <w:t>.</w:t>
      </w:r>
      <w:r w:rsidRPr="0057161E">
        <w:rPr>
          <w:sz w:val="20"/>
          <w:szCs w:val="20"/>
        </w:rPr>
        <w:t xml:space="preserve"> </w:t>
      </w:r>
      <w:r>
        <w:rPr>
          <w:sz w:val="20"/>
          <w:szCs w:val="20"/>
        </w:rPr>
        <w:t>У них</w:t>
      </w:r>
      <w:r w:rsidRPr="004B576A">
        <w:rPr>
          <w:sz w:val="20"/>
          <w:szCs w:val="20"/>
        </w:rPr>
        <w:t xml:space="preserve"> в пер</w:t>
      </w:r>
      <w:r w:rsidRPr="004B576A">
        <w:rPr>
          <w:sz w:val="20"/>
          <w:szCs w:val="20"/>
        </w:rPr>
        <w:t>и</w:t>
      </w:r>
      <w:r w:rsidRPr="004B576A">
        <w:rPr>
          <w:sz w:val="20"/>
          <w:szCs w:val="20"/>
        </w:rPr>
        <w:t xml:space="preserve">од </w:t>
      </w:r>
      <w:r>
        <w:rPr>
          <w:sz w:val="20"/>
          <w:szCs w:val="20"/>
        </w:rPr>
        <w:t xml:space="preserve">доращивания </w:t>
      </w:r>
      <w:r w:rsidRPr="004B576A">
        <w:rPr>
          <w:sz w:val="20"/>
          <w:szCs w:val="20"/>
        </w:rPr>
        <w:t xml:space="preserve">также широко диагностируется </w:t>
      </w:r>
      <w:r w:rsidRPr="007E4AEA">
        <w:rPr>
          <w:sz w:val="20"/>
          <w:szCs w:val="20"/>
        </w:rPr>
        <w:t xml:space="preserve">анемия </w:t>
      </w:r>
      <w:r w:rsidRPr="00B076B2">
        <w:rPr>
          <w:sz w:val="20"/>
          <w:szCs w:val="20"/>
        </w:rPr>
        <w:t>[</w:t>
      </w:r>
      <w:r w:rsidRPr="007E4AEA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B076B2">
        <w:rPr>
          <w:sz w:val="20"/>
          <w:szCs w:val="20"/>
        </w:rPr>
        <w:t>].</w:t>
      </w:r>
      <w:r>
        <w:rPr>
          <w:sz w:val="20"/>
          <w:szCs w:val="20"/>
        </w:rPr>
        <w:t xml:space="preserve"> Она</w:t>
      </w:r>
      <w:r w:rsidRPr="004B576A">
        <w:rPr>
          <w:sz w:val="20"/>
          <w:szCs w:val="20"/>
        </w:rPr>
        <w:t xml:space="preserve"> м</w:t>
      </w:r>
      <w:r w:rsidRPr="004B576A">
        <w:rPr>
          <w:sz w:val="20"/>
          <w:szCs w:val="20"/>
        </w:rPr>
        <w:t>о</w:t>
      </w:r>
      <w:r w:rsidRPr="004B576A">
        <w:rPr>
          <w:sz w:val="20"/>
          <w:szCs w:val="20"/>
        </w:rPr>
        <w:t xml:space="preserve">жет существенно осложнять течение болезней желудочно-кишечного тракта </w:t>
      </w:r>
      <w:r>
        <w:rPr>
          <w:sz w:val="20"/>
          <w:szCs w:val="20"/>
        </w:rPr>
        <w:t xml:space="preserve">у </w:t>
      </w:r>
      <w:r w:rsidRPr="004B576A">
        <w:rPr>
          <w:sz w:val="20"/>
          <w:szCs w:val="20"/>
        </w:rPr>
        <w:t xml:space="preserve">поросят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17</w:t>
      </w:r>
      <w:r w:rsidRPr="00B076B2">
        <w:rPr>
          <w:sz w:val="20"/>
          <w:szCs w:val="20"/>
        </w:rPr>
        <w:t>]</w:t>
      </w:r>
      <w:r w:rsidRPr="004B576A">
        <w:rPr>
          <w:sz w:val="20"/>
          <w:szCs w:val="20"/>
        </w:rPr>
        <w:t xml:space="preserve">. Сочетанный характер болезней </w:t>
      </w:r>
      <w:r>
        <w:rPr>
          <w:sz w:val="20"/>
          <w:szCs w:val="20"/>
        </w:rPr>
        <w:t>затрудняет</w:t>
      </w:r>
      <w:r w:rsidRPr="004B576A">
        <w:rPr>
          <w:sz w:val="20"/>
          <w:szCs w:val="20"/>
        </w:rPr>
        <w:t xml:space="preserve"> л</w:t>
      </w:r>
      <w:r w:rsidRPr="004B576A">
        <w:rPr>
          <w:sz w:val="20"/>
          <w:szCs w:val="20"/>
        </w:rPr>
        <w:t>е</w:t>
      </w:r>
      <w:r w:rsidRPr="004B576A">
        <w:rPr>
          <w:sz w:val="20"/>
          <w:szCs w:val="20"/>
        </w:rPr>
        <w:t>чебно-профилактическую работу ветеринарной службе свиноводч</w:t>
      </w:r>
      <w:r w:rsidRPr="004B576A">
        <w:rPr>
          <w:sz w:val="20"/>
          <w:szCs w:val="20"/>
        </w:rPr>
        <w:t>е</w:t>
      </w:r>
      <w:r w:rsidRPr="004B576A">
        <w:rPr>
          <w:sz w:val="20"/>
          <w:szCs w:val="20"/>
        </w:rPr>
        <w:t>ских предприятий. Высокая смертность поросят в период отъема, значительные затраты на проведение лечебно-профилактических мер</w:t>
      </w:r>
      <w:r w:rsidRPr="004B576A">
        <w:rPr>
          <w:sz w:val="20"/>
          <w:szCs w:val="20"/>
        </w:rPr>
        <w:t>о</w:t>
      </w:r>
      <w:r w:rsidRPr="004B576A">
        <w:rPr>
          <w:sz w:val="20"/>
          <w:szCs w:val="20"/>
        </w:rPr>
        <w:t xml:space="preserve">приятий и снижение продуктивности животных наносят свиноводству большой экономический ущерб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B076B2">
        <w:rPr>
          <w:sz w:val="20"/>
          <w:szCs w:val="20"/>
        </w:rPr>
        <w:t>]</w:t>
      </w:r>
      <w:r w:rsidRPr="004B57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368D6" w:rsidRPr="005D0DF1" w:rsidRDefault="005368D6" w:rsidP="005368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Железо</w:t>
      </w:r>
      <w:r w:rsidRPr="00C46CFE">
        <w:rPr>
          <w:sz w:val="20"/>
          <w:szCs w:val="20"/>
        </w:rPr>
        <w:t xml:space="preserve"> является составной частью сложного белка – гемоглобина, участвует в переносе газов, что определяет его высокое биофизиологическое значение. </w:t>
      </w:r>
      <w:r>
        <w:rPr>
          <w:sz w:val="20"/>
          <w:szCs w:val="20"/>
        </w:rPr>
        <w:t>В связи с этим</w:t>
      </w:r>
      <w:r w:rsidRPr="00C46CFE">
        <w:rPr>
          <w:sz w:val="20"/>
          <w:szCs w:val="20"/>
        </w:rPr>
        <w:t xml:space="preserve"> железо может являться лимитиру</w:t>
      </w:r>
      <w:r w:rsidRPr="00C46CFE">
        <w:rPr>
          <w:sz w:val="20"/>
          <w:szCs w:val="20"/>
        </w:rPr>
        <w:t>ю</w:t>
      </w:r>
      <w:r w:rsidRPr="00C46CFE">
        <w:rPr>
          <w:sz w:val="20"/>
          <w:szCs w:val="20"/>
        </w:rPr>
        <w:t xml:space="preserve">щим фактором в процессах кроветворения, тем самым способствовать развитию анемии </w:t>
      </w:r>
      <w:r w:rsidRPr="00B076B2">
        <w:rPr>
          <w:sz w:val="20"/>
          <w:szCs w:val="20"/>
        </w:rPr>
        <w:t>[</w:t>
      </w:r>
      <w:r w:rsidRPr="007E4AEA">
        <w:rPr>
          <w:sz w:val="20"/>
          <w:szCs w:val="20"/>
        </w:rPr>
        <w:t>9</w:t>
      </w:r>
      <w:r w:rsidRPr="00B076B2">
        <w:rPr>
          <w:sz w:val="20"/>
          <w:szCs w:val="20"/>
        </w:rPr>
        <w:t>]</w:t>
      </w:r>
      <w:r w:rsidRPr="00C46CFE">
        <w:rPr>
          <w:sz w:val="20"/>
          <w:szCs w:val="20"/>
        </w:rPr>
        <w:t>.</w:t>
      </w:r>
      <w:r>
        <w:rPr>
          <w:sz w:val="20"/>
          <w:szCs w:val="20"/>
        </w:rPr>
        <w:t xml:space="preserve"> П</w:t>
      </w:r>
      <w:r w:rsidRPr="00C46CFE">
        <w:rPr>
          <w:sz w:val="20"/>
          <w:szCs w:val="20"/>
        </w:rPr>
        <w:t>ри заболеваниях желудочно-кишечного тракта снижа</w:t>
      </w:r>
      <w:r>
        <w:rPr>
          <w:sz w:val="20"/>
          <w:szCs w:val="20"/>
        </w:rPr>
        <w:t>е</w:t>
      </w:r>
      <w:r w:rsidRPr="00C46CFE">
        <w:rPr>
          <w:sz w:val="20"/>
          <w:szCs w:val="20"/>
        </w:rPr>
        <w:t xml:space="preserve">тся поступление железа в организм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10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16</w:t>
      </w:r>
      <w:r w:rsidRPr="00B076B2">
        <w:rPr>
          <w:sz w:val="20"/>
          <w:szCs w:val="20"/>
        </w:rPr>
        <w:t>]</w:t>
      </w:r>
      <w:r>
        <w:rPr>
          <w:sz w:val="20"/>
          <w:szCs w:val="20"/>
        </w:rPr>
        <w:t>. Также и</w:t>
      </w:r>
      <w:r w:rsidRPr="00C46CFE">
        <w:rPr>
          <w:sz w:val="20"/>
          <w:szCs w:val="20"/>
        </w:rPr>
        <w:t>звестно</w:t>
      </w:r>
      <w:r>
        <w:rPr>
          <w:sz w:val="20"/>
          <w:szCs w:val="20"/>
        </w:rPr>
        <w:t>, что в патогенезе алиментарной анемии основное место занимает гипосид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роз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9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10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16</w:t>
      </w:r>
      <w:r w:rsidRPr="00B076B2">
        <w:rPr>
          <w:sz w:val="20"/>
          <w:szCs w:val="20"/>
        </w:rPr>
        <w:t>]</w:t>
      </w:r>
      <w:r>
        <w:rPr>
          <w:sz w:val="20"/>
          <w:szCs w:val="20"/>
        </w:rPr>
        <w:t>.</w:t>
      </w:r>
      <w:r w:rsidRPr="00C46CFE">
        <w:rPr>
          <w:sz w:val="20"/>
          <w:szCs w:val="20"/>
        </w:rPr>
        <w:t xml:space="preserve">  </w:t>
      </w:r>
    </w:p>
    <w:p w:rsidR="005368D6" w:rsidRPr="00614F22" w:rsidRDefault="005368D6" w:rsidP="005368D6">
      <w:pPr>
        <w:ind w:firstLine="284"/>
        <w:jc w:val="both"/>
        <w:rPr>
          <w:sz w:val="20"/>
          <w:szCs w:val="20"/>
        </w:rPr>
      </w:pPr>
      <w:r w:rsidRPr="00614F22">
        <w:rPr>
          <w:sz w:val="20"/>
          <w:szCs w:val="20"/>
        </w:rPr>
        <w:t>В литературе (зарубежной и отечественной)</w:t>
      </w:r>
      <w:r>
        <w:rPr>
          <w:sz w:val="20"/>
          <w:szCs w:val="20"/>
        </w:rPr>
        <w:t xml:space="preserve"> встречаются публик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ции, в которых</w:t>
      </w:r>
      <w:r w:rsidRPr="00614F22">
        <w:rPr>
          <w:sz w:val="20"/>
          <w:szCs w:val="20"/>
        </w:rPr>
        <w:t xml:space="preserve"> </w:t>
      </w:r>
      <w:r>
        <w:rPr>
          <w:sz w:val="20"/>
          <w:szCs w:val="20"/>
        </w:rPr>
        <w:t>описаны показатели обмена железа при болезнях пищеварительного тракта</w:t>
      </w:r>
      <w:r w:rsidRPr="00614F22">
        <w:rPr>
          <w:sz w:val="20"/>
          <w:szCs w:val="20"/>
        </w:rPr>
        <w:t xml:space="preserve">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5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6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8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10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81B11">
        <w:rPr>
          <w:sz w:val="20"/>
          <w:szCs w:val="20"/>
        </w:rPr>
        <w:t>11</w:t>
      </w:r>
      <w:r w:rsidRPr="00B076B2">
        <w:rPr>
          <w:sz w:val="20"/>
          <w:szCs w:val="20"/>
        </w:rPr>
        <w:t>,</w:t>
      </w:r>
      <w:r w:rsidRPr="00B81B11">
        <w:rPr>
          <w:sz w:val="20"/>
          <w:szCs w:val="20"/>
        </w:rPr>
        <w:t xml:space="preserve"> 16</w:t>
      </w:r>
      <w:r w:rsidRPr="00B076B2">
        <w:rPr>
          <w:sz w:val="20"/>
          <w:szCs w:val="20"/>
        </w:rPr>
        <w:t>,</w:t>
      </w:r>
      <w:r w:rsidRPr="00B81B11">
        <w:rPr>
          <w:sz w:val="20"/>
          <w:szCs w:val="20"/>
        </w:rPr>
        <w:t xml:space="preserve"> 17</w:t>
      </w:r>
      <w:r w:rsidRPr="00B076B2">
        <w:rPr>
          <w:sz w:val="20"/>
          <w:szCs w:val="20"/>
        </w:rPr>
        <w:t>,</w:t>
      </w:r>
      <w:r w:rsidRPr="00B81B11">
        <w:rPr>
          <w:sz w:val="20"/>
          <w:szCs w:val="20"/>
        </w:rPr>
        <w:t xml:space="preserve"> 18</w:t>
      </w:r>
      <w:r w:rsidRPr="00B076B2">
        <w:rPr>
          <w:sz w:val="20"/>
          <w:szCs w:val="20"/>
        </w:rPr>
        <w:t>]</w:t>
      </w:r>
      <w:r w:rsidRPr="00614F22">
        <w:rPr>
          <w:sz w:val="20"/>
          <w:szCs w:val="20"/>
        </w:rPr>
        <w:t xml:space="preserve">. </w:t>
      </w:r>
      <w:r>
        <w:rPr>
          <w:sz w:val="20"/>
          <w:szCs w:val="20"/>
        </w:rPr>
        <w:t>Вместе с тем</w:t>
      </w:r>
      <w:r w:rsidRPr="004B576A">
        <w:rPr>
          <w:sz w:val="20"/>
          <w:szCs w:val="20"/>
        </w:rPr>
        <w:t xml:space="preserve"> исследов</w:t>
      </w:r>
      <w:r w:rsidRPr="004B576A">
        <w:rPr>
          <w:sz w:val="20"/>
          <w:szCs w:val="20"/>
        </w:rPr>
        <w:t>а</w:t>
      </w:r>
      <w:r w:rsidRPr="004B576A">
        <w:rPr>
          <w:sz w:val="20"/>
          <w:szCs w:val="20"/>
        </w:rPr>
        <w:t>ния по данной проблематике в Беларуси проводились только в отн</w:t>
      </w:r>
      <w:r w:rsidRPr="004B576A">
        <w:rPr>
          <w:sz w:val="20"/>
          <w:szCs w:val="20"/>
        </w:rPr>
        <w:t>о</w:t>
      </w:r>
      <w:r w:rsidRPr="004B576A">
        <w:rPr>
          <w:sz w:val="20"/>
          <w:szCs w:val="20"/>
        </w:rPr>
        <w:t xml:space="preserve">шении телят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7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8</w:t>
      </w:r>
      <w:r w:rsidRPr="00B076B2">
        <w:rPr>
          <w:sz w:val="20"/>
          <w:szCs w:val="20"/>
        </w:rPr>
        <w:t>]</w:t>
      </w:r>
      <w:r w:rsidRPr="004B576A">
        <w:rPr>
          <w:sz w:val="20"/>
          <w:szCs w:val="20"/>
        </w:rPr>
        <w:t>.</w:t>
      </w:r>
      <w:r>
        <w:rPr>
          <w:sz w:val="20"/>
          <w:szCs w:val="20"/>
        </w:rPr>
        <w:t xml:space="preserve"> Важно отметить, что в условиях производства сложно оценивать параметры обмена железа у поросят, так как на них вли</w:t>
      </w:r>
      <w:r>
        <w:rPr>
          <w:sz w:val="20"/>
          <w:szCs w:val="20"/>
        </w:rPr>
        <w:t>я</w:t>
      </w:r>
      <w:r>
        <w:rPr>
          <w:sz w:val="20"/>
          <w:szCs w:val="20"/>
        </w:rPr>
        <w:t>ет множество неучтенных факторов. В связи с чем,</w:t>
      </w:r>
      <w:r w:rsidRPr="00614F22">
        <w:rPr>
          <w:sz w:val="20"/>
          <w:szCs w:val="20"/>
        </w:rPr>
        <w:t xml:space="preserve"> </w:t>
      </w:r>
      <w:r>
        <w:rPr>
          <w:sz w:val="20"/>
          <w:szCs w:val="20"/>
        </w:rPr>
        <w:t>представлены</w:t>
      </w:r>
      <w:r w:rsidRPr="00614F22">
        <w:rPr>
          <w:sz w:val="20"/>
          <w:szCs w:val="20"/>
        </w:rPr>
        <w:t xml:space="preserve"> в литературных источниках</w:t>
      </w:r>
      <w:r>
        <w:rPr>
          <w:sz w:val="20"/>
          <w:szCs w:val="20"/>
        </w:rPr>
        <w:t xml:space="preserve"> данные</w:t>
      </w:r>
      <w:r w:rsidRPr="00614F22">
        <w:rPr>
          <w:sz w:val="20"/>
          <w:szCs w:val="20"/>
        </w:rPr>
        <w:t>, достаточно разнообразны и не св</w:t>
      </w:r>
      <w:r w:rsidRPr="00614F22">
        <w:rPr>
          <w:sz w:val="20"/>
          <w:szCs w:val="20"/>
        </w:rPr>
        <w:t>е</w:t>
      </w:r>
      <w:r w:rsidRPr="00614F22">
        <w:rPr>
          <w:sz w:val="20"/>
          <w:szCs w:val="20"/>
        </w:rPr>
        <w:t>дены к одной точке зрения в описа</w:t>
      </w:r>
      <w:r>
        <w:rPr>
          <w:sz w:val="20"/>
          <w:szCs w:val="20"/>
        </w:rPr>
        <w:t>нии лабораторных показателей крови у</w:t>
      </w:r>
      <w:r w:rsidRPr="00614F22">
        <w:rPr>
          <w:sz w:val="20"/>
          <w:szCs w:val="20"/>
        </w:rPr>
        <w:t xml:space="preserve"> сви</w:t>
      </w:r>
      <w:r>
        <w:rPr>
          <w:sz w:val="20"/>
          <w:szCs w:val="20"/>
        </w:rPr>
        <w:t>ней на доращивании</w:t>
      </w:r>
      <w:r w:rsidRPr="00614F2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368D6" w:rsidRPr="004B576A" w:rsidRDefault="005368D6" w:rsidP="005368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Следовательно, п</w:t>
      </w:r>
      <w:r w:rsidRPr="004B576A">
        <w:rPr>
          <w:sz w:val="20"/>
          <w:szCs w:val="20"/>
        </w:rPr>
        <w:t xml:space="preserve">редставляет научный и практический интерес 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</w:t>
      </w:r>
      <w:r>
        <w:rPr>
          <w:sz w:val="20"/>
          <w:szCs w:val="20"/>
        </w:rPr>
        <w:t>ределение параметров обмена железа при</w:t>
      </w:r>
      <w:r w:rsidRPr="004B576A">
        <w:rPr>
          <w:sz w:val="20"/>
          <w:szCs w:val="20"/>
        </w:rPr>
        <w:t xml:space="preserve"> гастроэнтерита</w:t>
      </w:r>
      <w:r>
        <w:rPr>
          <w:sz w:val="20"/>
          <w:szCs w:val="20"/>
        </w:rPr>
        <w:t>х у поросят, что</w:t>
      </w:r>
      <w:r w:rsidRPr="004B576A">
        <w:rPr>
          <w:sz w:val="20"/>
          <w:szCs w:val="20"/>
        </w:rPr>
        <w:t xml:space="preserve"> </w:t>
      </w:r>
      <w:r>
        <w:rPr>
          <w:sz w:val="20"/>
          <w:szCs w:val="20"/>
        </w:rPr>
        <w:t>позволит</w:t>
      </w:r>
      <w:r w:rsidRPr="004B576A">
        <w:rPr>
          <w:sz w:val="20"/>
          <w:szCs w:val="20"/>
        </w:rPr>
        <w:t xml:space="preserve"> разработать способы </w:t>
      </w:r>
      <w:r>
        <w:rPr>
          <w:sz w:val="20"/>
          <w:szCs w:val="20"/>
        </w:rPr>
        <w:t xml:space="preserve">профилактики </w:t>
      </w:r>
      <w:r w:rsidRPr="004B576A">
        <w:rPr>
          <w:sz w:val="20"/>
          <w:szCs w:val="20"/>
        </w:rPr>
        <w:t>возникновения ан</w:t>
      </w:r>
      <w:r w:rsidRPr="004B576A">
        <w:rPr>
          <w:sz w:val="20"/>
          <w:szCs w:val="20"/>
        </w:rPr>
        <w:t>е</w:t>
      </w:r>
      <w:r w:rsidRPr="004B576A">
        <w:rPr>
          <w:sz w:val="20"/>
          <w:szCs w:val="20"/>
        </w:rPr>
        <w:t>ми</w:t>
      </w:r>
      <w:r>
        <w:rPr>
          <w:sz w:val="20"/>
          <w:szCs w:val="20"/>
        </w:rPr>
        <w:t>и</w:t>
      </w:r>
      <w:r w:rsidRPr="004B576A">
        <w:rPr>
          <w:sz w:val="20"/>
          <w:szCs w:val="20"/>
        </w:rPr>
        <w:t xml:space="preserve"> при заболевании </w:t>
      </w:r>
      <w:r>
        <w:rPr>
          <w:sz w:val="20"/>
          <w:szCs w:val="20"/>
        </w:rPr>
        <w:t>пищеварительного тракта</w:t>
      </w:r>
      <w:r w:rsidRPr="004B576A">
        <w:rPr>
          <w:sz w:val="20"/>
          <w:szCs w:val="20"/>
        </w:rPr>
        <w:t xml:space="preserve"> в условиях промы</w:t>
      </w:r>
      <w:r w:rsidRPr="004B576A">
        <w:rPr>
          <w:sz w:val="20"/>
          <w:szCs w:val="20"/>
        </w:rPr>
        <w:t>ш</w:t>
      </w:r>
      <w:r w:rsidRPr="004B576A">
        <w:rPr>
          <w:sz w:val="20"/>
          <w:szCs w:val="20"/>
        </w:rPr>
        <w:t>ленн</w:t>
      </w:r>
      <w:r>
        <w:rPr>
          <w:sz w:val="20"/>
          <w:szCs w:val="20"/>
        </w:rPr>
        <w:t>ых</w:t>
      </w:r>
      <w:r w:rsidRPr="004B576A">
        <w:rPr>
          <w:sz w:val="20"/>
          <w:szCs w:val="20"/>
        </w:rPr>
        <w:t xml:space="preserve"> </w:t>
      </w:r>
      <w:r>
        <w:rPr>
          <w:sz w:val="20"/>
          <w:szCs w:val="20"/>
        </w:rPr>
        <w:t>комплексов</w:t>
      </w:r>
      <w:r w:rsidRPr="004B576A">
        <w:rPr>
          <w:sz w:val="20"/>
          <w:szCs w:val="20"/>
        </w:rPr>
        <w:t>.</w:t>
      </w:r>
    </w:p>
    <w:p w:rsidR="005368D6" w:rsidRPr="00614F22" w:rsidRDefault="005368D6" w:rsidP="005368D6">
      <w:pPr>
        <w:ind w:firstLine="284"/>
        <w:jc w:val="both"/>
        <w:rPr>
          <w:sz w:val="20"/>
          <w:szCs w:val="20"/>
        </w:rPr>
      </w:pPr>
      <w:r w:rsidRPr="00400A22">
        <w:rPr>
          <w:b/>
          <w:sz w:val="20"/>
          <w:szCs w:val="20"/>
        </w:rPr>
        <w:t>Цель</w:t>
      </w:r>
      <w:r>
        <w:rPr>
          <w:b/>
          <w:sz w:val="20"/>
          <w:szCs w:val="20"/>
        </w:rPr>
        <w:t xml:space="preserve"> работы:</w:t>
      </w:r>
      <w:r w:rsidRPr="00614F22"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определить показатели обмена железа у поросят-отъемышей при экспериментально воспроизведенной патологии пищеварительного тракта с признаками ди</w:t>
      </w:r>
      <w:r>
        <w:rPr>
          <w:sz w:val="20"/>
          <w:szCs w:val="20"/>
        </w:rPr>
        <w:t>а</w:t>
      </w:r>
      <w:r>
        <w:rPr>
          <w:sz w:val="20"/>
          <w:szCs w:val="20"/>
        </w:rPr>
        <w:t>реи</w:t>
      </w:r>
      <w:r w:rsidRPr="00614F22">
        <w:rPr>
          <w:sz w:val="20"/>
          <w:szCs w:val="20"/>
        </w:rPr>
        <w:t>.</w:t>
      </w:r>
    </w:p>
    <w:p w:rsidR="005368D6" w:rsidRPr="00614F22" w:rsidRDefault="005368D6" w:rsidP="005368D6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Материал и методика исследований.</w:t>
      </w:r>
      <w:r w:rsidRPr="00614F22">
        <w:rPr>
          <w:sz w:val="20"/>
          <w:szCs w:val="20"/>
        </w:rPr>
        <w:t xml:space="preserve"> Исследования проведены на базе клиники факультета ветеринарной медицины и научно-исследовательской лаборатории УО «Гродненский государственный агарный университет». Использовали поросят 35 - 40-дневного возра</w:t>
      </w:r>
      <w:r w:rsidRPr="00614F22">
        <w:rPr>
          <w:sz w:val="20"/>
          <w:szCs w:val="20"/>
        </w:rPr>
        <w:t>с</w:t>
      </w:r>
      <w:r w:rsidRPr="00614F22">
        <w:rPr>
          <w:sz w:val="20"/>
          <w:szCs w:val="20"/>
        </w:rPr>
        <w:t xml:space="preserve">та. </w:t>
      </w:r>
      <w:r>
        <w:rPr>
          <w:sz w:val="20"/>
          <w:szCs w:val="20"/>
        </w:rPr>
        <w:t>В</w:t>
      </w:r>
      <w:r w:rsidRPr="00614F22">
        <w:rPr>
          <w:sz w:val="20"/>
          <w:szCs w:val="20"/>
        </w:rPr>
        <w:t xml:space="preserve"> течение 3 дней</w:t>
      </w:r>
      <w:r>
        <w:rPr>
          <w:sz w:val="20"/>
          <w:szCs w:val="20"/>
        </w:rPr>
        <w:t xml:space="preserve"> ж</w:t>
      </w:r>
      <w:r w:rsidRPr="00614F22">
        <w:rPr>
          <w:sz w:val="20"/>
          <w:szCs w:val="20"/>
        </w:rPr>
        <w:t xml:space="preserve">ивотные были подвергнуты фистулированию. Состояние животных </w:t>
      </w:r>
      <w:r>
        <w:rPr>
          <w:sz w:val="20"/>
          <w:szCs w:val="20"/>
        </w:rPr>
        <w:t xml:space="preserve">перед экспериментом </w:t>
      </w:r>
      <w:r w:rsidRPr="00614F22">
        <w:rPr>
          <w:sz w:val="20"/>
          <w:szCs w:val="20"/>
        </w:rPr>
        <w:t>оценивали при клинич</w:t>
      </w:r>
      <w:r w:rsidRPr="00614F22">
        <w:rPr>
          <w:sz w:val="20"/>
          <w:szCs w:val="20"/>
        </w:rPr>
        <w:t>е</w:t>
      </w:r>
      <w:r w:rsidRPr="00614F22">
        <w:rPr>
          <w:sz w:val="20"/>
          <w:szCs w:val="20"/>
        </w:rPr>
        <w:t>ском осмотре, лабораторном изучении крови, а также на предмет проходимости фистульного отрезка т</w:t>
      </w:r>
      <w:r w:rsidRPr="00614F22">
        <w:rPr>
          <w:sz w:val="20"/>
          <w:szCs w:val="20"/>
        </w:rPr>
        <w:t>о</w:t>
      </w:r>
      <w:r w:rsidRPr="00614F22">
        <w:rPr>
          <w:sz w:val="20"/>
          <w:szCs w:val="20"/>
        </w:rPr>
        <w:t xml:space="preserve">щей кишки. </w:t>
      </w:r>
    </w:p>
    <w:p w:rsidR="005368D6" w:rsidRPr="00A55BCC" w:rsidRDefault="005368D6" w:rsidP="005368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Патологию пищеварительного тракта у экспериментальных пор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сят воспроизводили путем предварительной инициации дисбактериоза кишечника  после многократной инфузии суточной культуры (СК) </w:t>
      </w:r>
      <w:r>
        <w:rPr>
          <w:sz w:val="20"/>
          <w:szCs w:val="20"/>
          <w:lang w:val="en-US"/>
        </w:rPr>
        <w:t>Escherichia</w:t>
      </w:r>
      <w:r w:rsidRPr="00A55BC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coli</w:t>
      </w:r>
      <w:r w:rsidRPr="00A55BCC">
        <w:rPr>
          <w:sz w:val="20"/>
          <w:szCs w:val="20"/>
        </w:rPr>
        <w:t xml:space="preserve">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3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4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13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14</w:t>
      </w:r>
      <w:r w:rsidRPr="00B076B2">
        <w:rPr>
          <w:sz w:val="20"/>
          <w:szCs w:val="20"/>
        </w:rPr>
        <w:t>]</w:t>
      </w:r>
      <w:r>
        <w:rPr>
          <w:sz w:val="20"/>
          <w:szCs w:val="20"/>
        </w:rPr>
        <w:t xml:space="preserve"> в тонкий кишечник через фистулу</w:t>
      </w:r>
      <w:r w:rsidRPr="00A55BCC">
        <w:rPr>
          <w:sz w:val="20"/>
          <w:szCs w:val="20"/>
        </w:rPr>
        <w:t>.</w:t>
      </w:r>
    </w:p>
    <w:p w:rsidR="005368D6" w:rsidRDefault="005368D6" w:rsidP="005368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Кровь отбирали до проведения опыта, через 1 и 10 суток после окончания воспроизведения патологии у животных. Взятие крови проводили из венозного орбитального синуса с соблюдением правил асе</w:t>
      </w:r>
      <w:r>
        <w:rPr>
          <w:sz w:val="20"/>
          <w:szCs w:val="20"/>
        </w:rPr>
        <w:t>п</w:t>
      </w:r>
      <w:r>
        <w:rPr>
          <w:sz w:val="20"/>
          <w:szCs w:val="20"/>
        </w:rPr>
        <w:t>тики-антисептики. Взятую таким образом кровь использовали для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лучения сыворотки.</w:t>
      </w:r>
    </w:p>
    <w:p w:rsidR="005368D6" w:rsidRPr="00F71C3A" w:rsidRDefault="005368D6" w:rsidP="005368D6">
      <w:pPr>
        <w:ind w:firstLine="284"/>
        <w:jc w:val="both"/>
        <w:rPr>
          <w:sz w:val="20"/>
          <w:szCs w:val="20"/>
        </w:rPr>
      </w:pPr>
      <w:r w:rsidRPr="00CA6649">
        <w:rPr>
          <w:sz w:val="20"/>
          <w:szCs w:val="20"/>
        </w:rPr>
        <w:t>Для полной характеристики обмена железа устанавливали колич</w:t>
      </w:r>
      <w:r w:rsidRPr="00CA6649">
        <w:rPr>
          <w:sz w:val="20"/>
          <w:szCs w:val="20"/>
        </w:rPr>
        <w:t>е</w:t>
      </w:r>
      <w:r w:rsidRPr="00CA6649">
        <w:rPr>
          <w:sz w:val="20"/>
          <w:szCs w:val="20"/>
        </w:rPr>
        <w:t>ство сывороточного железа (СЖ), а также общую (ОЖСС) и латентную (ЛЖСС) железосвязывающую способность сыворотки крови и коэ</w:t>
      </w:r>
      <w:r w:rsidRPr="00CA6649">
        <w:rPr>
          <w:sz w:val="20"/>
          <w:szCs w:val="20"/>
        </w:rPr>
        <w:t>ф</w:t>
      </w:r>
      <w:r w:rsidRPr="00CA6649">
        <w:rPr>
          <w:sz w:val="20"/>
          <w:szCs w:val="20"/>
        </w:rPr>
        <w:t>фициент насыщения трансферрина железом (КНТ). Для биохимич</w:t>
      </w:r>
      <w:r w:rsidRPr="00CA6649">
        <w:rPr>
          <w:sz w:val="20"/>
          <w:szCs w:val="20"/>
        </w:rPr>
        <w:t>е</w:t>
      </w:r>
      <w:r w:rsidRPr="00CA6649">
        <w:rPr>
          <w:sz w:val="20"/>
          <w:szCs w:val="20"/>
        </w:rPr>
        <w:t>ских исследований использовали стандартные (сертифицированные) наборы реактивов фирмы «Cormay». Исследования проводили на би</w:t>
      </w:r>
      <w:r w:rsidRPr="00CA6649">
        <w:rPr>
          <w:sz w:val="20"/>
          <w:szCs w:val="20"/>
        </w:rPr>
        <w:t>о</w:t>
      </w:r>
      <w:r w:rsidRPr="00CA6649">
        <w:rPr>
          <w:sz w:val="20"/>
          <w:szCs w:val="20"/>
        </w:rPr>
        <w:t xml:space="preserve">химическом анализаторе </w:t>
      </w:r>
      <w:r w:rsidRPr="00CA6649">
        <w:rPr>
          <w:sz w:val="20"/>
          <w:szCs w:val="20"/>
          <w:lang w:val="en-US"/>
        </w:rPr>
        <w:t>DIALAB</w:t>
      </w:r>
      <w:r w:rsidRPr="00CA6649">
        <w:rPr>
          <w:sz w:val="20"/>
          <w:szCs w:val="20"/>
        </w:rPr>
        <w:t xml:space="preserve"> </w:t>
      </w:r>
      <w:r w:rsidRPr="00CA6649">
        <w:rPr>
          <w:sz w:val="20"/>
          <w:szCs w:val="20"/>
          <w:lang w:val="en-US"/>
        </w:rPr>
        <w:t>Autolyzer</w:t>
      </w:r>
      <w:r w:rsidRPr="00CA6649">
        <w:rPr>
          <w:sz w:val="20"/>
          <w:szCs w:val="20"/>
        </w:rPr>
        <w:t xml:space="preserve"> 20010</w:t>
      </w:r>
      <w:r w:rsidRPr="00CA6649">
        <w:rPr>
          <w:sz w:val="20"/>
          <w:szCs w:val="20"/>
          <w:lang w:val="en-US"/>
        </w:rPr>
        <w:t>D</w:t>
      </w:r>
      <w:r w:rsidRPr="00CA664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429CD">
        <w:rPr>
          <w:sz w:val="20"/>
          <w:szCs w:val="20"/>
        </w:rPr>
        <w:t>ОЖСС определ</w:t>
      </w:r>
      <w:r w:rsidRPr="00E429CD">
        <w:rPr>
          <w:sz w:val="20"/>
          <w:szCs w:val="20"/>
        </w:rPr>
        <w:t>я</w:t>
      </w:r>
      <w:r w:rsidRPr="00E429CD">
        <w:rPr>
          <w:sz w:val="20"/>
          <w:szCs w:val="20"/>
        </w:rPr>
        <w:t xml:space="preserve">ли с помощью набора реактивов фирмы «Cormay». ЛЖСС </w:t>
      </w:r>
      <w:r>
        <w:rPr>
          <w:sz w:val="20"/>
          <w:szCs w:val="20"/>
        </w:rPr>
        <w:t>рассчитыв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ли как</w:t>
      </w:r>
      <w:r w:rsidRPr="00E429CD">
        <w:rPr>
          <w:sz w:val="20"/>
          <w:szCs w:val="20"/>
        </w:rPr>
        <w:t xml:space="preserve"> разницу между ОЖСС и количеством железа в сыворотке крови. КНТ – это величина, отражающая отношение уровня сывороточного железа к величине ОЖСС.</w:t>
      </w:r>
    </w:p>
    <w:p w:rsidR="005368D6" w:rsidRPr="00C46CFE" w:rsidRDefault="005368D6" w:rsidP="005368D6">
      <w:pPr>
        <w:ind w:firstLine="284"/>
        <w:jc w:val="both"/>
        <w:rPr>
          <w:sz w:val="20"/>
          <w:szCs w:val="20"/>
        </w:rPr>
      </w:pPr>
      <w:r w:rsidRPr="00DA6177">
        <w:rPr>
          <w:b/>
          <w:sz w:val="20"/>
          <w:szCs w:val="20"/>
        </w:rPr>
        <w:t>Результаты</w:t>
      </w:r>
      <w:r>
        <w:rPr>
          <w:b/>
          <w:sz w:val="20"/>
          <w:szCs w:val="20"/>
        </w:rPr>
        <w:t xml:space="preserve"> исследований и их обсуждение</w:t>
      </w:r>
      <w:r w:rsidRPr="00DA6177">
        <w:rPr>
          <w:b/>
          <w:sz w:val="20"/>
          <w:szCs w:val="20"/>
        </w:rPr>
        <w:t>.</w:t>
      </w:r>
      <w:r w:rsidRPr="00614F22">
        <w:rPr>
          <w:i/>
          <w:sz w:val="20"/>
          <w:szCs w:val="20"/>
        </w:rPr>
        <w:t xml:space="preserve"> </w:t>
      </w:r>
      <w:r w:rsidRPr="00C46CFE">
        <w:rPr>
          <w:sz w:val="20"/>
          <w:szCs w:val="20"/>
        </w:rPr>
        <w:t>В опыте по иници</w:t>
      </w:r>
      <w:r w:rsidRPr="00C46CFE">
        <w:rPr>
          <w:sz w:val="20"/>
          <w:szCs w:val="20"/>
        </w:rPr>
        <w:t>а</w:t>
      </w:r>
      <w:r w:rsidRPr="00C46CFE">
        <w:rPr>
          <w:sz w:val="20"/>
          <w:szCs w:val="20"/>
        </w:rPr>
        <w:t>ции дисбактериоза тонкого кишечника определяли уровень сывороточного железа (СЖ) у экспериментальных пор</w:t>
      </w:r>
      <w:r w:rsidRPr="00C46CFE">
        <w:rPr>
          <w:sz w:val="20"/>
          <w:szCs w:val="20"/>
        </w:rPr>
        <w:t>о</w:t>
      </w:r>
      <w:r w:rsidRPr="00C46CFE">
        <w:rPr>
          <w:sz w:val="20"/>
          <w:szCs w:val="20"/>
        </w:rPr>
        <w:t xml:space="preserve">сят. Разница в период до вливания СК (0) по уровню железа между животными опытной и контрольной групп была </w:t>
      </w:r>
      <w:r>
        <w:rPr>
          <w:sz w:val="20"/>
          <w:szCs w:val="20"/>
        </w:rPr>
        <w:t>не значительная и составила 4,1</w:t>
      </w:r>
      <w:r w:rsidRPr="00C46CFE">
        <w:rPr>
          <w:sz w:val="20"/>
          <w:szCs w:val="20"/>
        </w:rPr>
        <w:t>% (таблица). Это показывает однородность экспериме</w:t>
      </w:r>
      <w:r w:rsidRPr="00C46CFE">
        <w:rPr>
          <w:sz w:val="20"/>
          <w:szCs w:val="20"/>
        </w:rPr>
        <w:t>н</w:t>
      </w:r>
      <w:r w:rsidRPr="00C46CFE">
        <w:rPr>
          <w:sz w:val="20"/>
          <w:szCs w:val="20"/>
        </w:rPr>
        <w:t>тальных поросят по уровню железа.</w:t>
      </w:r>
    </w:p>
    <w:p w:rsidR="005368D6" w:rsidRDefault="005368D6" w:rsidP="005368D6">
      <w:pPr>
        <w:ind w:firstLine="284"/>
        <w:jc w:val="both"/>
        <w:rPr>
          <w:sz w:val="20"/>
          <w:szCs w:val="20"/>
        </w:rPr>
      </w:pPr>
      <w:r w:rsidRPr="00C46CFE">
        <w:rPr>
          <w:sz w:val="20"/>
          <w:szCs w:val="20"/>
        </w:rPr>
        <w:t>Концентрация железа (таблица) в течение эксперимента у ко</w:t>
      </w:r>
      <w:r w:rsidRPr="00C46CFE">
        <w:rPr>
          <w:sz w:val="20"/>
          <w:szCs w:val="20"/>
        </w:rPr>
        <w:t>н</w:t>
      </w:r>
      <w:r>
        <w:rPr>
          <w:sz w:val="20"/>
          <w:szCs w:val="20"/>
        </w:rPr>
        <w:t>трольной группы выросла на 9,75</w:t>
      </w:r>
      <w:r w:rsidRPr="00C46CFE">
        <w:rPr>
          <w:sz w:val="20"/>
          <w:szCs w:val="20"/>
        </w:rPr>
        <w:t>% и составил</w:t>
      </w:r>
      <w:r>
        <w:rPr>
          <w:sz w:val="20"/>
          <w:szCs w:val="20"/>
        </w:rPr>
        <w:t>а</w:t>
      </w:r>
      <w:r w:rsidRPr="00C46CFE">
        <w:rPr>
          <w:sz w:val="20"/>
          <w:szCs w:val="20"/>
        </w:rPr>
        <w:t xml:space="preserve"> 30,04±1,1 мкмоль/л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)</w:t>
      </w:r>
      <w:r w:rsidRPr="00C46CFE">
        <w:rPr>
          <w:sz w:val="20"/>
          <w:szCs w:val="20"/>
        </w:rPr>
        <w:t>. У животных опытной группы на протяжении всех трех периодов эк</w:t>
      </w:r>
      <w:r w:rsidRPr="00C46CFE">
        <w:rPr>
          <w:sz w:val="20"/>
          <w:szCs w:val="20"/>
        </w:rPr>
        <w:t>с</w:t>
      </w:r>
      <w:r w:rsidRPr="00C46CFE">
        <w:rPr>
          <w:sz w:val="20"/>
          <w:szCs w:val="20"/>
        </w:rPr>
        <w:t>перимента наблюдали снижение количества железа в сыворотке крови по о</w:t>
      </w:r>
      <w:r>
        <w:rPr>
          <w:sz w:val="20"/>
          <w:szCs w:val="20"/>
        </w:rPr>
        <w:t>тношению к началу опыта на 27,5%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≤0,05) и 12,6</w:t>
      </w:r>
      <w:r w:rsidRPr="00C46CFE">
        <w:rPr>
          <w:sz w:val="20"/>
          <w:szCs w:val="20"/>
        </w:rPr>
        <w:t>% соответс</w:t>
      </w:r>
      <w:r w:rsidRPr="00C46CFE">
        <w:rPr>
          <w:sz w:val="20"/>
          <w:szCs w:val="20"/>
        </w:rPr>
        <w:t>т</w:t>
      </w:r>
      <w:r w:rsidRPr="00C46CFE">
        <w:rPr>
          <w:sz w:val="20"/>
          <w:szCs w:val="20"/>
        </w:rPr>
        <w:t>венно</w:t>
      </w:r>
      <w:r w:rsidRPr="0016251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периоды </w:t>
      </w:r>
      <w:r>
        <w:rPr>
          <w:sz w:val="20"/>
          <w:szCs w:val="20"/>
          <w:lang w:val="en-US"/>
        </w:rPr>
        <w:t>I</w:t>
      </w:r>
      <w:r w:rsidRPr="00162512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</w:t>
      </w:r>
      <w:r w:rsidRPr="00162512">
        <w:rPr>
          <w:sz w:val="20"/>
          <w:szCs w:val="20"/>
        </w:rPr>
        <w:t>)</w:t>
      </w:r>
      <w:r w:rsidRPr="00C46CFE">
        <w:rPr>
          <w:sz w:val="20"/>
          <w:szCs w:val="20"/>
        </w:rPr>
        <w:t xml:space="preserve">. Важно отметить, что корма и режим кормления в обеих </w:t>
      </w:r>
      <w:r w:rsidRPr="00C46CFE">
        <w:rPr>
          <w:sz w:val="20"/>
          <w:szCs w:val="20"/>
        </w:rPr>
        <w:lastRenderedPageBreak/>
        <w:t>группах были одинаковыми. Следовательно, у поросят опытной группы поступление железа происходило менее интенсивно. Это мо</w:t>
      </w:r>
      <w:r w:rsidRPr="00C46CFE">
        <w:rPr>
          <w:sz w:val="20"/>
          <w:szCs w:val="20"/>
        </w:rPr>
        <w:t>ж</w:t>
      </w:r>
      <w:r w:rsidRPr="00C46CFE">
        <w:rPr>
          <w:sz w:val="20"/>
          <w:szCs w:val="20"/>
        </w:rPr>
        <w:t xml:space="preserve">но объяснить наличием расстройств в желудочно-кишечном тракте </w:t>
      </w:r>
      <w:proofErr w:type="gramStart"/>
      <w:r w:rsidRPr="00C46CFE">
        <w:rPr>
          <w:sz w:val="20"/>
          <w:szCs w:val="20"/>
        </w:rPr>
        <w:t>при</w:t>
      </w:r>
      <w:proofErr w:type="gramEnd"/>
      <w:r w:rsidRPr="00C46CFE">
        <w:rPr>
          <w:sz w:val="20"/>
          <w:szCs w:val="20"/>
        </w:rPr>
        <w:t xml:space="preserve"> экспериментальном дисбактериозе, развитием синдрома мальабсор</w:t>
      </w:r>
      <w:r w:rsidRPr="00C46CFE">
        <w:rPr>
          <w:sz w:val="20"/>
          <w:szCs w:val="20"/>
        </w:rPr>
        <w:t>б</w:t>
      </w:r>
      <w:r w:rsidRPr="00C46CFE">
        <w:rPr>
          <w:sz w:val="20"/>
          <w:szCs w:val="20"/>
        </w:rPr>
        <w:t xml:space="preserve">ции, </w:t>
      </w:r>
      <w:r>
        <w:rPr>
          <w:sz w:val="20"/>
          <w:szCs w:val="20"/>
        </w:rPr>
        <w:t>снижением</w:t>
      </w:r>
      <w:r w:rsidRPr="00C46CFE">
        <w:rPr>
          <w:sz w:val="20"/>
          <w:szCs w:val="20"/>
        </w:rPr>
        <w:t xml:space="preserve"> всасывания, прохождением компонентов корма транзитом через желудочно-кишечный тракт</w:t>
      </w:r>
      <w:r>
        <w:rPr>
          <w:sz w:val="20"/>
          <w:szCs w:val="20"/>
        </w:rPr>
        <w:t xml:space="preserve">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12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13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15</w:t>
      </w:r>
      <w:r w:rsidRPr="00B076B2">
        <w:rPr>
          <w:sz w:val="20"/>
          <w:szCs w:val="20"/>
        </w:rPr>
        <w:t>]</w:t>
      </w:r>
      <w:r w:rsidRPr="00C46CFE">
        <w:rPr>
          <w:sz w:val="20"/>
          <w:szCs w:val="20"/>
        </w:rPr>
        <w:t>.</w:t>
      </w:r>
      <w:r w:rsidRPr="00162512">
        <w:rPr>
          <w:sz w:val="20"/>
          <w:szCs w:val="20"/>
        </w:rPr>
        <w:t xml:space="preserve"> </w:t>
      </w:r>
      <w:r>
        <w:rPr>
          <w:sz w:val="20"/>
          <w:szCs w:val="20"/>
        </w:rPr>
        <w:t>Уменьшение концентрации СЖ сопровождает уменьшение резервного железа в орг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низме. Это влечет за собой включение механизмов повышения общей железосвязывающей способности плазмы (сыворотки), что обусловл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но увеличением синтеза трансферрина в печени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16</w:t>
      </w:r>
      <w:r w:rsidRPr="00B076B2">
        <w:rPr>
          <w:sz w:val="20"/>
          <w:szCs w:val="20"/>
        </w:rPr>
        <w:t>]</w:t>
      </w:r>
      <w:r>
        <w:rPr>
          <w:sz w:val="20"/>
          <w:szCs w:val="20"/>
        </w:rPr>
        <w:t>. Это подтвержд</w:t>
      </w:r>
      <w:r>
        <w:rPr>
          <w:sz w:val="20"/>
          <w:szCs w:val="20"/>
        </w:rPr>
        <w:t>а</w:t>
      </w:r>
      <w:r>
        <w:rPr>
          <w:sz w:val="20"/>
          <w:szCs w:val="20"/>
        </w:rPr>
        <w:t>ют данные таблицы. Из данных таблицы видно</w:t>
      </w:r>
      <w:r w:rsidRPr="00C46CFE">
        <w:rPr>
          <w:sz w:val="20"/>
          <w:szCs w:val="20"/>
        </w:rPr>
        <w:t>, что максимальное значение ОЖСС (76,98±4,97 мкмоль/л) у поросят опытной группы регис</w:t>
      </w:r>
      <w:r w:rsidRPr="00C46CFE">
        <w:rPr>
          <w:sz w:val="20"/>
          <w:szCs w:val="20"/>
        </w:rPr>
        <w:t>т</w:t>
      </w:r>
      <w:r w:rsidRPr="00C46CFE">
        <w:rPr>
          <w:sz w:val="20"/>
          <w:szCs w:val="20"/>
        </w:rPr>
        <w:t>рировали сразу после последнего вливания СК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)</w:t>
      </w:r>
      <w:r w:rsidRPr="00C46CFE">
        <w:rPr>
          <w:sz w:val="20"/>
          <w:szCs w:val="20"/>
        </w:rPr>
        <w:t xml:space="preserve">. </w:t>
      </w:r>
      <w:r>
        <w:rPr>
          <w:sz w:val="20"/>
          <w:szCs w:val="20"/>
        </w:rPr>
        <w:t>Этот</w:t>
      </w:r>
      <w:r w:rsidRPr="00C46CFE">
        <w:rPr>
          <w:sz w:val="20"/>
          <w:szCs w:val="20"/>
        </w:rPr>
        <w:t xml:space="preserve"> показ</w:t>
      </w:r>
      <w:r w:rsidRPr="00C46CFE">
        <w:rPr>
          <w:sz w:val="20"/>
          <w:szCs w:val="20"/>
        </w:rPr>
        <w:t>а</w:t>
      </w:r>
      <w:r w:rsidRPr="00C46CFE">
        <w:rPr>
          <w:sz w:val="20"/>
          <w:szCs w:val="20"/>
        </w:rPr>
        <w:t>тель был выше на 24,6 %, чем у поросят контрольной группы в аналогичный период. В целом, регистрировали бóльшие значения ОЖСС у п</w:t>
      </w:r>
      <w:r w:rsidRPr="00C46CFE">
        <w:rPr>
          <w:sz w:val="20"/>
          <w:szCs w:val="20"/>
        </w:rPr>
        <w:t>о</w:t>
      </w:r>
      <w:r w:rsidRPr="00C46CFE">
        <w:rPr>
          <w:sz w:val="20"/>
          <w:szCs w:val="20"/>
        </w:rPr>
        <w:t xml:space="preserve">росят опытной группы во все периоды эксперимента. </w:t>
      </w:r>
      <w:r>
        <w:rPr>
          <w:sz w:val="20"/>
          <w:szCs w:val="20"/>
        </w:rPr>
        <w:t xml:space="preserve">Так, в период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ОЖСС</w:t>
      </w:r>
      <w:r w:rsidRPr="005963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 поросят опытной группы была выше на 28,9%. </w:t>
      </w:r>
    </w:p>
    <w:p w:rsidR="005368D6" w:rsidRPr="00C46CFE" w:rsidRDefault="005368D6" w:rsidP="005368D6">
      <w:pPr>
        <w:spacing w:after="60"/>
        <w:ind w:firstLine="284"/>
        <w:jc w:val="both"/>
        <w:rPr>
          <w:sz w:val="20"/>
          <w:szCs w:val="20"/>
        </w:rPr>
      </w:pPr>
      <w:r w:rsidRPr="00C46CFE">
        <w:rPr>
          <w:sz w:val="20"/>
          <w:szCs w:val="20"/>
        </w:rPr>
        <w:t>Таблица – Динамика показателей обмена железа у экспериментал</w:t>
      </w:r>
      <w:r w:rsidRPr="00C46CFE">
        <w:rPr>
          <w:sz w:val="20"/>
          <w:szCs w:val="20"/>
        </w:rPr>
        <w:t>ь</w:t>
      </w:r>
      <w:r w:rsidRPr="00C46CFE">
        <w:rPr>
          <w:sz w:val="20"/>
          <w:szCs w:val="20"/>
        </w:rPr>
        <w:t>ных поросят (M±m), (</w:t>
      </w:r>
      <w:r w:rsidRPr="00C46CFE">
        <w:rPr>
          <w:sz w:val="20"/>
          <w:szCs w:val="20"/>
          <w:lang w:val="en-US"/>
        </w:rPr>
        <w:t>n</w:t>
      </w:r>
      <w:r w:rsidRPr="00C46CFE">
        <w:rPr>
          <w:sz w:val="20"/>
          <w:szCs w:val="20"/>
        </w:rPr>
        <w:t xml:space="preserve">=10) </w:t>
      </w: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080"/>
        <w:gridCol w:w="1200"/>
        <w:gridCol w:w="1320"/>
        <w:gridCol w:w="1320"/>
      </w:tblGrid>
      <w:tr w:rsidR="005368D6" w:rsidRPr="00C46CFE" w:rsidTr="002E185D">
        <w:tc>
          <w:tcPr>
            <w:tcW w:w="1308" w:type="dxa"/>
            <w:vMerge w:val="restart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Показат</w:t>
            </w:r>
            <w:r w:rsidRPr="00C46CF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1080" w:type="dxa"/>
            <w:vMerge w:val="restart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840" w:type="dxa"/>
            <w:gridSpan w:val="3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Период опыта</w:t>
            </w:r>
            <w:r w:rsidRPr="00C46CFE">
              <w:rPr>
                <w:sz w:val="20"/>
                <w:szCs w:val="20"/>
                <w:vertAlign w:val="superscript"/>
                <w:lang w:val="en-US"/>
              </w:rPr>
              <w:t>#</w:t>
            </w:r>
          </w:p>
        </w:tc>
      </w:tr>
      <w:tr w:rsidR="005368D6" w:rsidRPr="00C46CFE" w:rsidTr="002E185D">
        <w:tc>
          <w:tcPr>
            <w:tcW w:w="1308" w:type="dxa"/>
            <w:vMerge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  <w:lang w:val="en-US"/>
              </w:rPr>
              <w:t>II</w:t>
            </w:r>
          </w:p>
        </w:tc>
      </w:tr>
      <w:tr w:rsidR="005368D6" w:rsidRPr="00C46CFE" w:rsidTr="002E185D">
        <w:tc>
          <w:tcPr>
            <w:tcW w:w="1308" w:type="dxa"/>
            <w:vMerge w:val="restart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СЖ, мкмоль/л</w:t>
            </w:r>
          </w:p>
        </w:tc>
        <w:tc>
          <w:tcPr>
            <w:tcW w:w="1080" w:type="dxa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Опы</w:t>
            </w:r>
            <w:r w:rsidRPr="00C46CFE">
              <w:rPr>
                <w:sz w:val="20"/>
                <w:szCs w:val="20"/>
              </w:rPr>
              <w:t>т</w:t>
            </w:r>
            <w:r w:rsidRPr="00C46CFE">
              <w:rPr>
                <w:sz w:val="20"/>
                <w:szCs w:val="20"/>
              </w:rPr>
              <w:t>ная</w:t>
            </w:r>
          </w:p>
        </w:tc>
        <w:tc>
          <w:tcPr>
            <w:tcW w:w="120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26,01±1,25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18,86±1,28</w:t>
            </w:r>
            <w:r w:rsidRPr="00C46CFE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22,72±2,76</w:t>
            </w:r>
          </w:p>
        </w:tc>
      </w:tr>
      <w:tr w:rsidR="005368D6" w:rsidRPr="00C46CFE" w:rsidTr="002E185D">
        <w:tc>
          <w:tcPr>
            <w:tcW w:w="1308" w:type="dxa"/>
            <w:vMerge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Ко</w:t>
            </w:r>
            <w:r w:rsidRPr="00C46CFE">
              <w:rPr>
                <w:sz w:val="20"/>
                <w:szCs w:val="20"/>
              </w:rPr>
              <w:t>н</w:t>
            </w:r>
            <w:r w:rsidRPr="00C46CFE">
              <w:rPr>
                <w:sz w:val="20"/>
                <w:szCs w:val="20"/>
              </w:rPr>
              <w:t>троль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27,11±1,17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30,04±1,1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29,98±1,68</w:t>
            </w:r>
          </w:p>
        </w:tc>
      </w:tr>
      <w:tr w:rsidR="005368D6" w:rsidRPr="00C46CFE" w:rsidTr="002E185D">
        <w:tc>
          <w:tcPr>
            <w:tcW w:w="1308" w:type="dxa"/>
            <w:vMerge w:val="restart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ОЖСС, мкмоль/л</w:t>
            </w:r>
          </w:p>
        </w:tc>
        <w:tc>
          <w:tcPr>
            <w:tcW w:w="1080" w:type="dxa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Опы</w:t>
            </w:r>
            <w:r w:rsidRPr="00C46CFE">
              <w:rPr>
                <w:sz w:val="20"/>
                <w:szCs w:val="20"/>
              </w:rPr>
              <w:t>т</w:t>
            </w:r>
            <w:r w:rsidRPr="00C46CFE">
              <w:rPr>
                <w:sz w:val="20"/>
                <w:szCs w:val="20"/>
              </w:rPr>
              <w:t>ная</w:t>
            </w:r>
          </w:p>
        </w:tc>
        <w:tc>
          <w:tcPr>
            <w:tcW w:w="120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68,64±1,88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76,98±4,97</w:t>
            </w:r>
            <w:r w:rsidRPr="00C46CF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74,03±3,21</w:t>
            </w:r>
            <w:r w:rsidRPr="00C46CFE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5368D6" w:rsidRPr="00C46CFE" w:rsidTr="002E185D">
        <w:tc>
          <w:tcPr>
            <w:tcW w:w="1308" w:type="dxa"/>
            <w:vMerge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Ко</w:t>
            </w:r>
            <w:r w:rsidRPr="00C46CFE">
              <w:rPr>
                <w:sz w:val="20"/>
                <w:szCs w:val="20"/>
              </w:rPr>
              <w:t>н</w:t>
            </w:r>
            <w:r w:rsidRPr="00C46CFE">
              <w:rPr>
                <w:sz w:val="20"/>
                <w:szCs w:val="20"/>
              </w:rPr>
              <w:t>троль</w:t>
            </w:r>
          </w:p>
        </w:tc>
        <w:tc>
          <w:tcPr>
            <w:tcW w:w="120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60,46±3,59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58,06±2,69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52,64±2,57</w:t>
            </w:r>
          </w:p>
        </w:tc>
      </w:tr>
      <w:tr w:rsidR="005368D6" w:rsidRPr="00C46CFE" w:rsidTr="002E185D">
        <w:tc>
          <w:tcPr>
            <w:tcW w:w="1308" w:type="dxa"/>
            <w:vMerge w:val="restart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ЛЖСС, мкмоль/л</w:t>
            </w:r>
          </w:p>
        </w:tc>
        <w:tc>
          <w:tcPr>
            <w:tcW w:w="1080" w:type="dxa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Опы</w:t>
            </w:r>
            <w:r w:rsidRPr="00C46CFE">
              <w:rPr>
                <w:sz w:val="20"/>
                <w:szCs w:val="20"/>
              </w:rPr>
              <w:t>т</w:t>
            </w:r>
            <w:r w:rsidRPr="00C46CFE">
              <w:rPr>
                <w:sz w:val="20"/>
                <w:szCs w:val="20"/>
              </w:rPr>
              <w:t>ная</w:t>
            </w:r>
          </w:p>
        </w:tc>
        <w:tc>
          <w:tcPr>
            <w:tcW w:w="120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42,63±2,4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58,12±5,91</w:t>
            </w:r>
            <w:r w:rsidRPr="00C46CFE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C46CFE">
              <w:rPr>
                <w:sz w:val="20"/>
                <w:szCs w:val="20"/>
              </w:rPr>
              <w:t>51,16±3,81</w:t>
            </w:r>
            <w:r w:rsidRPr="00C46CFE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5368D6" w:rsidRPr="00C46CFE" w:rsidTr="002E185D">
        <w:tc>
          <w:tcPr>
            <w:tcW w:w="1308" w:type="dxa"/>
            <w:vMerge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368D6" w:rsidRPr="00C46CFE" w:rsidRDefault="005368D6" w:rsidP="002E185D">
            <w:pPr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Ко</w:t>
            </w:r>
            <w:r w:rsidRPr="00C46CFE">
              <w:rPr>
                <w:sz w:val="20"/>
                <w:szCs w:val="20"/>
              </w:rPr>
              <w:t>н</w:t>
            </w:r>
            <w:r w:rsidRPr="00C46CFE">
              <w:rPr>
                <w:sz w:val="20"/>
                <w:szCs w:val="20"/>
              </w:rPr>
              <w:t>троль</w:t>
            </w:r>
          </w:p>
        </w:tc>
        <w:tc>
          <w:tcPr>
            <w:tcW w:w="120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33,35±3,9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28,02±2,14</w:t>
            </w:r>
          </w:p>
        </w:tc>
        <w:tc>
          <w:tcPr>
            <w:tcW w:w="1320" w:type="dxa"/>
            <w:vAlign w:val="center"/>
          </w:tcPr>
          <w:p w:rsidR="005368D6" w:rsidRPr="00C46CFE" w:rsidRDefault="005368D6" w:rsidP="002E185D">
            <w:pPr>
              <w:jc w:val="center"/>
              <w:rPr>
                <w:sz w:val="20"/>
                <w:szCs w:val="20"/>
              </w:rPr>
            </w:pPr>
            <w:r w:rsidRPr="00C46CFE">
              <w:rPr>
                <w:sz w:val="20"/>
                <w:szCs w:val="20"/>
              </w:rPr>
              <w:t>22,66±3,86</w:t>
            </w:r>
          </w:p>
        </w:tc>
      </w:tr>
    </w:tbl>
    <w:p w:rsidR="005368D6" w:rsidRPr="00B076B2" w:rsidRDefault="005368D6" w:rsidP="005368D6">
      <w:pPr>
        <w:ind w:firstLine="284"/>
        <w:jc w:val="both"/>
        <w:rPr>
          <w:sz w:val="16"/>
          <w:szCs w:val="16"/>
        </w:rPr>
      </w:pPr>
      <w:r w:rsidRPr="00B076B2">
        <w:rPr>
          <w:sz w:val="16"/>
          <w:szCs w:val="16"/>
        </w:rPr>
        <w:t xml:space="preserve">Примечание: </w:t>
      </w:r>
    </w:p>
    <w:p w:rsidR="005368D6" w:rsidRPr="00B076B2" w:rsidRDefault="005368D6" w:rsidP="005368D6">
      <w:pPr>
        <w:ind w:firstLine="284"/>
        <w:jc w:val="both"/>
        <w:rPr>
          <w:sz w:val="16"/>
          <w:szCs w:val="16"/>
        </w:rPr>
      </w:pPr>
      <w:r w:rsidRPr="00B076B2">
        <w:rPr>
          <w:sz w:val="16"/>
          <w:szCs w:val="16"/>
        </w:rPr>
        <w:t xml:space="preserve">* – </w:t>
      </w:r>
      <w:proofErr w:type="gramStart"/>
      <w:r w:rsidRPr="00B076B2">
        <w:rPr>
          <w:sz w:val="16"/>
          <w:szCs w:val="16"/>
        </w:rPr>
        <w:t>Р</w:t>
      </w:r>
      <w:proofErr w:type="gramEnd"/>
      <w:r w:rsidRPr="00B076B2">
        <w:rPr>
          <w:sz w:val="16"/>
          <w:szCs w:val="16"/>
        </w:rPr>
        <w:t xml:space="preserve"> &lt; 0,05; ** – Р &lt; 0,01</w:t>
      </w:r>
    </w:p>
    <w:p w:rsidR="005368D6" w:rsidRPr="00B076B2" w:rsidRDefault="005368D6" w:rsidP="005368D6">
      <w:pPr>
        <w:ind w:firstLine="284"/>
        <w:jc w:val="both"/>
        <w:rPr>
          <w:sz w:val="16"/>
          <w:szCs w:val="16"/>
        </w:rPr>
      </w:pPr>
      <w:r w:rsidRPr="00B076B2">
        <w:rPr>
          <w:sz w:val="16"/>
          <w:szCs w:val="16"/>
        </w:rPr>
        <w:t># 0 период – взятие крови перед началом опыта; I период – взятие крови после п</w:t>
      </w:r>
      <w:r w:rsidRPr="00B076B2">
        <w:rPr>
          <w:sz w:val="16"/>
          <w:szCs w:val="16"/>
        </w:rPr>
        <w:t>о</w:t>
      </w:r>
      <w:r w:rsidRPr="00B076B2">
        <w:rPr>
          <w:sz w:val="16"/>
          <w:szCs w:val="16"/>
        </w:rPr>
        <w:t>следнего вливания СК; II период – повторное взятие крови через 5-7 дней после после</w:t>
      </w:r>
      <w:r w:rsidRPr="00B076B2">
        <w:rPr>
          <w:sz w:val="16"/>
          <w:szCs w:val="16"/>
        </w:rPr>
        <w:t>д</w:t>
      </w:r>
      <w:r w:rsidRPr="00B076B2">
        <w:rPr>
          <w:sz w:val="16"/>
          <w:szCs w:val="16"/>
        </w:rPr>
        <w:t>него вливания СК.</w:t>
      </w:r>
    </w:p>
    <w:p w:rsidR="005368D6" w:rsidRPr="00C46CFE" w:rsidRDefault="005368D6" w:rsidP="005368D6">
      <w:pPr>
        <w:ind w:firstLine="284"/>
        <w:jc w:val="both"/>
        <w:rPr>
          <w:sz w:val="20"/>
          <w:szCs w:val="20"/>
        </w:rPr>
      </w:pPr>
      <w:r w:rsidRPr="00C46CFE">
        <w:rPr>
          <w:sz w:val="20"/>
          <w:szCs w:val="20"/>
        </w:rPr>
        <w:t>Аналогичная ситуация наблюдается при анализе ЛЖСС у поросят опытной и контрольной групп</w:t>
      </w:r>
      <w:r>
        <w:rPr>
          <w:sz w:val="20"/>
          <w:szCs w:val="20"/>
        </w:rPr>
        <w:t xml:space="preserve"> (таблица)</w:t>
      </w:r>
      <w:r w:rsidRPr="00C46CFE">
        <w:rPr>
          <w:sz w:val="20"/>
          <w:szCs w:val="20"/>
        </w:rPr>
        <w:t>. Данный показатель у опытных поросят в среднем выше в 1,28 – 2,26 раза, чем у контрольных ж</w:t>
      </w:r>
      <w:r w:rsidRPr="00C46CFE">
        <w:rPr>
          <w:sz w:val="20"/>
          <w:szCs w:val="20"/>
        </w:rPr>
        <w:t>и</w:t>
      </w:r>
      <w:r w:rsidRPr="00C46CFE">
        <w:rPr>
          <w:sz w:val="20"/>
          <w:szCs w:val="20"/>
        </w:rPr>
        <w:t xml:space="preserve">вотных. </w:t>
      </w:r>
      <w:r>
        <w:rPr>
          <w:sz w:val="20"/>
          <w:szCs w:val="20"/>
        </w:rPr>
        <w:t>Следовательно, показатель ЛЖСС изменяется значител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нее, чем ОЖСС. Это может быть объяснено компенсаторным увеличением синтеза тран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феррина в печени </w:t>
      </w:r>
      <w:r w:rsidRPr="00B076B2">
        <w:rPr>
          <w:sz w:val="20"/>
          <w:szCs w:val="20"/>
        </w:rPr>
        <w:t>[</w:t>
      </w:r>
      <w:r>
        <w:rPr>
          <w:sz w:val="20"/>
          <w:szCs w:val="20"/>
        </w:rPr>
        <w:t>9</w:t>
      </w:r>
      <w:r w:rsidRPr="00B076B2">
        <w:rPr>
          <w:sz w:val="20"/>
          <w:szCs w:val="20"/>
        </w:rPr>
        <w:t>,</w:t>
      </w:r>
      <w:r>
        <w:rPr>
          <w:sz w:val="20"/>
          <w:szCs w:val="20"/>
        </w:rPr>
        <w:t xml:space="preserve"> 16</w:t>
      </w:r>
      <w:r w:rsidRPr="00B076B2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5368D6" w:rsidRPr="00C46CFE" w:rsidRDefault="005368D6" w:rsidP="005368D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в</w:t>
      </w:r>
      <w:r w:rsidRPr="00C46CFE">
        <w:rPr>
          <w:sz w:val="20"/>
          <w:szCs w:val="20"/>
        </w:rPr>
        <w:t xml:space="preserve">ыше упомянутые показатели </w:t>
      </w:r>
      <w:r>
        <w:rPr>
          <w:sz w:val="20"/>
          <w:szCs w:val="20"/>
        </w:rPr>
        <w:t xml:space="preserve">можно использовать </w:t>
      </w:r>
      <w:r w:rsidRPr="00C46CFE">
        <w:rPr>
          <w:sz w:val="20"/>
          <w:szCs w:val="20"/>
        </w:rPr>
        <w:t xml:space="preserve">для оценки системы трансферрина, </w:t>
      </w:r>
      <w:proofErr w:type="gramStart"/>
      <w:r w:rsidRPr="00C46CFE">
        <w:rPr>
          <w:sz w:val="20"/>
          <w:szCs w:val="20"/>
        </w:rPr>
        <w:t>количество</w:t>
      </w:r>
      <w:proofErr w:type="gramEnd"/>
      <w:r w:rsidRPr="00C46CFE">
        <w:rPr>
          <w:sz w:val="20"/>
          <w:szCs w:val="20"/>
        </w:rPr>
        <w:t xml:space="preserve"> которого и определяет «связанность» железа в сыворотке крови. </w:t>
      </w:r>
      <w:r>
        <w:rPr>
          <w:sz w:val="20"/>
          <w:szCs w:val="20"/>
        </w:rPr>
        <w:t>При этом необходимо учит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вать тот факт,</w:t>
      </w:r>
      <w:r w:rsidRPr="00C46CFE">
        <w:rPr>
          <w:sz w:val="20"/>
          <w:szCs w:val="20"/>
        </w:rPr>
        <w:t xml:space="preserve"> что при железодефицитном состоянии организм компе</w:t>
      </w:r>
      <w:r w:rsidRPr="00C46CFE">
        <w:rPr>
          <w:sz w:val="20"/>
          <w:szCs w:val="20"/>
        </w:rPr>
        <w:t>н</w:t>
      </w:r>
      <w:r w:rsidRPr="00C46CFE">
        <w:rPr>
          <w:sz w:val="20"/>
          <w:szCs w:val="20"/>
        </w:rPr>
        <w:t xml:space="preserve">саторно может увеличивать содержание трансферрина в крови, </w:t>
      </w:r>
      <w:r>
        <w:rPr>
          <w:sz w:val="20"/>
          <w:szCs w:val="20"/>
        </w:rPr>
        <w:t>а это</w:t>
      </w:r>
      <w:r w:rsidRPr="00C46CFE">
        <w:rPr>
          <w:sz w:val="20"/>
          <w:szCs w:val="20"/>
        </w:rPr>
        <w:t xml:space="preserve"> приводит к повышению ОЖСС и бол</w:t>
      </w:r>
      <w:r>
        <w:rPr>
          <w:sz w:val="20"/>
          <w:szCs w:val="20"/>
        </w:rPr>
        <w:t>ее резкому увеличению ЛЖСС</w:t>
      </w:r>
      <w:r w:rsidRPr="00C46CFE">
        <w:rPr>
          <w:sz w:val="20"/>
          <w:szCs w:val="20"/>
        </w:rPr>
        <w:t>. Это объясняет постепенное повышение анализируемых показ</w:t>
      </w:r>
      <w:r w:rsidRPr="00C46CFE">
        <w:rPr>
          <w:sz w:val="20"/>
          <w:szCs w:val="20"/>
        </w:rPr>
        <w:t>а</w:t>
      </w:r>
      <w:r w:rsidRPr="00C46CFE">
        <w:rPr>
          <w:sz w:val="20"/>
          <w:szCs w:val="20"/>
        </w:rPr>
        <w:t xml:space="preserve">телей у поросят при </w:t>
      </w:r>
      <w:proofErr w:type="gramStart"/>
      <w:r w:rsidRPr="00C46CFE">
        <w:rPr>
          <w:sz w:val="20"/>
          <w:szCs w:val="20"/>
        </w:rPr>
        <w:t>экспериментальном</w:t>
      </w:r>
      <w:proofErr w:type="gramEnd"/>
      <w:r w:rsidRPr="00C46CFE">
        <w:rPr>
          <w:sz w:val="20"/>
          <w:szCs w:val="20"/>
        </w:rPr>
        <w:t xml:space="preserve"> дисбактериозе, который клинически проявлялся </w:t>
      </w:r>
      <w:r>
        <w:rPr>
          <w:sz w:val="20"/>
          <w:szCs w:val="20"/>
        </w:rPr>
        <w:t xml:space="preserve">симптомокомплексом </w:t>
      </w:r>
      <w:r w:rsidRPr="00C46CFE">
        <w:rPr>
          <w:sz w:val="20"/>
          <w:szCs w:val="20"/>
        </w:rPr>
        <w:t>ди</w:t>
      </w:r>
      <w:r w:rsidRPr="00C46CFE">
        <w:rPr>
          <w:sz w:val="20"/>
          <w:szCs w:val="20"/>
        </w:rPr>
        <w:t>а</w:t>
      </w:r>
      <w:r w:rsidRPr="00C46CFE">
        <w:rPr>
          <w:sz w:val="20"/>
          <w:szCs w:val="20"/>
        </w:rPr>
        <w:t>реи.</w:t>
      </w:r>
    </w:p>
    <w:p w:rsidR="005368D6" w:rsidRPr="00C46CFE" w:rsidRDefault="005368D6" w:rsidP="005368D6">
      <w:pPr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254000</wp:posOffset>
            </wp:positionV>
            <wp:extent cx="3810000" cy="2190115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9" t="3734" r="8411" b="2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8D6" w:rsidRDefault="005368D6" w:rsidP="005368D6">
      <w:pPr>
        <w:ind w:left="6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0" style="position:absolute;left:0;text-align:left;z-index:251661312" from="36pt,188.5pt" to="54pt,188.5pt"/>
        </w:pict>
      </w:r>
      <w:r w:rsidRPr="00C46CFE">
        <w:rPr>
          <w:sz w:val="20"/>
          <w:szCs w:val="20"/>
        </w:rPr>
        <w:t>«</w:t>
      </w:r>
      <w:r>
        <w:rPr>
          <w:sz w:val="20"/>
          <w:szCs w:val="20"/>
        </w:rPr>
        <w:t xml:space="preserve">        </w:t>
      </w:r>
      <w:r w:rsidRPr="00C46CFE">
        <w:rPr>
          <w:sz w:val="20"/>
          <w:szCs w:val="20"/>
        </w:rPr>
        <w:t>» – опытная группа</w:t>
      </w:r>
      <w:proofErr w:type="gramStart"/>
      <w:r w:rsidRPr="00C46CFE">
        <w:rPr>
          <w:sz w:val="20"/>
          <w:szCs w:val="20"/>
        </w:rPr>
        <w:t>; «</w:t>
      </w:r>
      <w:r>
        <w:rPr>
          <w:sz w:val="20"/>
          <w:szCs w:val="20"/>
        </w:rPr>
        <w:t>- - -</w:t>
      </w:r>
      <w:r w:rsidRPr="00C46CFE">
        <w:rPr>
          <w:sz w:val="20"/>
          <w:szCs w:val="20"/>
        </w:rPr>
        <w:t xml:space="preserve">» – </w:t>
      </w:r>
      <w:proofErr w:type="gramEnd"/>
      <w:r w:rsidRPr="00C46CFE">
        <w:rPr>
          <w:sz w:val="20"/>
          <w:szCs w:val="20"/>
        </w:rPr>
        <w:t>контрольная группа</w:t>
      </w:r>
    </w:p>
    <w:p w:rsidR="005368D6" w:rsidRPr="00952921" w:rsidRDefault="005368D6" w:rsidP="005368D6">
      <w:pPr>
        <w:jc w:val="center"/>
        <w:rPr>
          <w:sz w:val="20"/>
          <w:szCs w:val="20"/>
        </w:rPr>
      </w:pPr>
      <w:r w:rsidRPr="00952921">
        <w:rPr>
          <w:sz w:val="20"/>
          <w:szCs w:val="20"/>
        </w:rPr>
        <w:t xml:space="preserve">* – </w:t>
      </w:r>
      <w:proofErr w:type="gramStart"/>
      <w:r w:rsidRPr="00952921">
        <w:rPr>
          <w:sz w:val="20"/>
          <w:szCs w:val="20"/>
        </w:rPr>
        <w:t>Р</w:t>
      </w:r>
      <w:proofErr w:type="gramEnd"/>
      <w:r w:rsidRPr="00952921">
        <w:rPr>
          <w:sz w:val="20"/>
          <w:szCs w:val="20"/>
        </w:rPr>
        <w:t xml:space="preserve"> &lt; 0,05; *</w:t>
      </w:r>
      <w:r>
        <w:rPr>
          <w:sz w:val="20"/>
          <w:szCs w:val="20"/>
        </w:rPr>
        <w:t>*</w:t>
      </w:r>
      <w:r w:rsidRPr="00952921">
        <w:rPr>
          <w:sz w:val="20"/>
          <w:szCs w:val="20"/>
        </w:rPr>
        <w:t>* – Р &lt; 0,</w:t>
      </w:r>
      <w:r>
        <w:rPr>
          <w:sz w:val="20"/>
          <w:szCs w:val="20"/>
        </w:rPr>
        <w:t>0</w:t>
      </w:r>
      <w:r w:rsidRPr="00952921">
        <w:rPr>
          <w:sz w:val="20"/>
          <w:szCs w:val="20"/>
        </w:rPr>
        <w:t>01</w:t>
      </w:r>
    </w:p>
    <w:p w:rsidR="005368D6" w:rsidRPr="00B076B2" w:rsidRDefault="005368D6" w:rsidP="005368D6">
      <w:pPr>
        <w:ind w:left="1200" w:hanging="1200"/>
        <w:jc w:val="center"/>
        <w:rPr>
          <w:sz w:val="20"/>
          <w:szCs w:val="20"/>
        </w:rPr>
      </w:pPr>
      <w:r w:rsidRPr="00B076B2">
        <w:rPr>
          <w:sz w:val="20"/>
          <w:szCs w:val="20"/>
        </w:rPr>
        <w:t>Рисунок – Значение КНТ у экспериментальных поросят</w:t>
      </w:r>
    </w:p>
    <w:p w:rsidR="005368D6" w:rsidRDefault="005368D6" w:rsidP="005368D6">
      <w:pPr>
        <w:ind w:firstLine="284"/>
        <w:jc w:val="both"/>
        <w:rPr>
          <w:sz w:val="20"/>
          <w:szCs w:val="20"/>
        </w:rPr>
      </w:pPr>
    </w:p>
    <w:p w:rsidR="005368D6" w:rsidRPr="00C46CFE" w:rsidRDefault="005368D6" w:rsidP="005368D6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Анализ КНТ (рисунок)</w:t>
      </w:r>
      <w:r w:rsidRPr="00C46CFE">
        <w:rPr>
          <w:sz w:val="20"/>
          <w:szCs w:val="20"/>
        </w:rPr>
        <w:t xml:space="preserve"> показал, что у опытной группы поросят н</w:t>
      </w:r>
      <w:r w:rsidRPr="00C46CFE">
        <w:rPr>
          <w:sz w:val="20"/>
          <w:szCs w:val="20"/>
        </w:rPr>
        <w:t>а</w:t>
      </w:r>
      <w:r w:rsidRPr="00C46CFE">
        <w:rPr>
          <w:sz w:val="20"/>
          <w:szCs w:val="20"/>
        </w:rPr>
        <w:t>сыщение трансферрина железом в среднем в 2 раза ниже, чем у ко</w:t>
      </w:r>
      <w:r w:rsidRPr="00C46CFE">
        <w:rPr>
          <w:sz w:val="20"/>
          <w:szCs w:val="20"/>
        </w:rPr>
        <w:t>н</w:t>
      </w:r>
      <w:r w:rsidRPr="00C46CFE">
        <w:rPr>
          <w:sz w:val="20"/>
          <w:szCs w:val="20"/>
        </w:rPr>
        <w:t>трольной, во второй и третий периоды эксперимента.</w:t>
      </w:r>
      <w:proofErr w:type="gramEnd"/>
      <w:r w:rsidRPr="00C46CFE">
        <w:rPr>
          <w:sz w:val="20"/>
          <w:szCs w:val="20"/>
        </w:rPr>
        <w:t xml:space="preserve"> Несмотря на компенсаторное повышение концентрации трансферрина у опытной группы животных, уровень КНТ оказался ниже, чем у контрольных поросят. Этот факт подтверждает наличие железодефицитного состояния у свиней с признаками </w:t>
      </w:r>
      <w:r>
        <w:rPr>
          <w:sz w:val="20"/>
          <w:szCs w:val="20"/>
        </w:rPr>
        <w:t>гастроэнтерита</w:t>
      </w:r>
      <w:r w:rsidRPr="00C46CFE">
        <w:rPr>
          <w:sz w:val="20"/>
          <w:szCs w:val="20"/>
        </w:rPr>
        <w:t xml:space="preserve">. </w:t>
      </w:r>
    </w:p>
    <w:p w:rsidR="005368D6" w:rsidRDefault="005368D6" w:rsidP="005368D6">
      <w:pPr>
        <w:ind w:firstLine="284"/>
        <w:jc w:val="both"/>
        <w:rPr>
          <w:sz w:val="20"/>
          <w:szCs w:val="20"/>
        </w:rPr>
      </w:pPr>
      <w:r w:rsidRPr="0064067C">
        <w:rPr>
          <w:b/>
          <w:sz w:val="20"/>
          <w:szCs w:val="20"/>
        </w:rPr>
        <w:t>Заключение.</w:t>
      </w:r>
      <w:r w:rsidRPr="00614F22">
        <w:rPr>
          <w:b/>
          <w:sz w:val="20"/>
          <w:szCs w:val="20"/>
        </w:rPr>
        <w:t xml:space="preserve"> </w:t>
      </w:r>
      <w:r w:rsidRPr="00C46CFE">
        <w:rPr>
          <w:sz w:val="20"/>
          <w:szCs w:val="20"/>
        </w:rPr>
        <w:t>Таким образом, кишечный дисбактериоз у экспер</w:t>
      </w:r>
      <w:r w:rsidRPr="00C46CFE">
        <w:rPr>
          <w:sz w:val="20"/>
          <w:szCs w:val="20"/>
        </w:rPr>
        <w:t>и</w:t>
      </w:r>
      <w:r w:rsidRPr="00C46CFE">
        <w:rPr>
          <w:sz w:val="20"/>
          <w:szCs w:val="20"/>
        </w:rPr>
        <w:t>ментальных поросят, который протекал с клиническими признаками диареи, характеризуется снижением уровня СЖ, КНТ, что связано с железодефици</w:t>
      </w:r>
      <w:r w:rsidRPr="00C46CFE">
        <w:rPr>
          <w:sz w:val="20"/>
          <w:szCs w:val="20"/>
        </w:rPr>
        <w:t>т</w:t>
      </w:r>
      <w:r w:rsidRPr="00C46CFE">
        <w:rPr>
          <w:sz w:val="20"/>
          <w:szCs w:val="20"/>
        </w:rPr>
        <w:t xml:space="preserve">ным состоянием. Также отмечали увеличение ОЖСС и ЛЖСС в силу компенсаторного роста концентрации трансферрина в сыворотке крови. </w:t>
      </w:r>
      <w:r>
        <w:rPr>
          <w:sz w:val="20"/>
          <w:szCs w:val="20"/>
        </w:rPr>
        <w:t>Повышение показателей ОЖСС и ЛЖСС очевидно преследует цель более полного поступления железа в костный мозг, увеличения скорости обмена железа в организме поросенка.</w:t>
      </w:r>
    </w:p>
    <w:p w:rsidR="005368D6" w:rsidRPr="00C46CFE" w:rsidRDefault="005368D6" w:rsidP="005368D6">
      <w:pPr>
        <w:ind w:firstLine="284"/>
        <w:jc w:val="both"/>
        <w:rPr>
          <w:sz w:val="20"/>
          <w:szCs w:val="20"/>
        </w:rPr>
      </w:pPr>
      <w:r w:rsidRPr="00C46CFE">
        <w:rPr>
          <w:sz w:val="20"/>
          <w:szCs w:val="20"/>
        </w:rPr>
        <w:lastRenderedPageBreak/>
        <w:t xml:space="preserve">Это подтверждает мнение, что при </w:t>
      </w:r>
      <w:r>
        <w:rPr>
          <w:sz w:val="20"/>
          <w:szCs w:val="20"/>
        </w:rPr>
        <w:t>послеотъемных гастроэнтеритах</w:t>
      </w:r>
      <w:r w:rsidRPr="00C46CFE">
        <w:rPr>
          <w:sz w:val="20"/>
          <w:szCs w:val="20"/>
        </w:rPr>
        <w:t xml:space="preserve"> поросят снижается </w:t>
      </w:r>
      <w:r>
        <w:rPr>
          <w:sz w:val="20"/>
          <w:szCs w:val="20"/>
        </w:rPr>
        <w:t>поступление</w:t>
      </w:r>
      <w:r w:rsidRPr="00C46CFE">
        <w:rPr>
          <w:sz w:val="20"/>
          <w:szCs w:val="20"/>
        </w:rPr>
        <w:t xml:space="preserve"> </w:t>
      </w:r>
      <w:r>
        <w:rPr>
          <w:sz w:val="20"/>
          <w:szCs w:val="20"/>
        </w:rPr>
        <w:t>через</w:t>
      </w:r>
      <w:r w:rsidRPr="00C46CFE">
        <w:rPr>
          <w:sz w:val="20"/>
          <w:szCs w:val="20"/>
        </w:rPr>
        <w:t xml:space="preserve"> желудочно-кишечн</w:t>
      </w:r>
      <w:r>
        <w:rPr>
          <w:sz w:val="20"/>
          <w:szCs w:val="20"/>
        </w:rPr>
        <w:t>ый</w:t>
      </w:r>
      <w:r w:rsidRPr="00C46CFE">
        <w:rPr>
          <w:sz w:val="20"/>
          <w:szCs w:val="20"/>
        </w:rPr>
        <w:t xml:space="preserve"> тракт ж</w:t>
      </w:r>
      <w:r w:rsidRPr="00C46CFE">
        <w:rPr>
          <w:sz w:val="20"/>
          <w:szCs w:val="20"/>
        </w:rPr>
        <w:t>е</w:t>
      </w:r>
      <w:r w:rsidRPr="00C46CFE">
        <w:rPr>
          <w:sz w:val="20"/>
          <w:szCs w:val="20"/>
        </w:rPr>
        <w:t xml:space="preserve">леза и </w:t>
      </w:r>
      <w:r>
        <w:rPr>
          <w:sz w:val="20"/>
          <w:szCs w:val="20"/>
        </w:rPr>
        <w:t>использование</w:t>
      </w:r>
      <w:r w:rsidRPr="00C46CFE">
        <w:rPr>
          <w:sz w:val="20"/>
          <w:szCs w:val="20"/>
        </w:rPr>
        <w:t xml:space="preserve"> его в организм</w:t>
      </w:r>
      <w:r>
        <w:rPr>
          <w:sz w:val="20"/>
          <w:szCs w:val="20"/>
        </w:rPr>
        <w:t xml:space="preserve"> костным мозгом</w:t>
      </w:r>
      <w:r w:rsidRPr="00C46CFE">
        <w:rPr>
          <w:sz w:val="20"/>
          <w:szCs w:val="20"/>
        </w:rPr>
        <w:t>. Все это является предпосылкой формирования алиментарной железодефицитной ан</w:t>
      </w:r>
      <w:r w:rsidRPr="00C46CFE">
        <w:rPr>
          <w:sz w:val="20"/>
          <w:szCs w:val="20"/>
        </w:rPr>
        <w:t>е</w:t>
      </w:r>
      <w:r w:rsidRPr="00C46CFE">
        <w:rPr>
          <w:sz w:val="20"/>
          <w:szCs w:val="20"/>
        </w:rPr>
        <w:t>мии у поросят.</w:t>
      </w:r>
      <w:r>
        <w:rPr>
          <w:sz w:val="20"/>
          <w:szCs w:val="20"/>
        </w:rPr>
        <w:t xml:space="preserve"> Следовательно, для профилактики анемии при болезнях желудочно-кишечного тракта у поросят необходимо повышать посту</w:t>
      </w:r>
      <w:r>
        <w:rPr>
          <w:sz w:val="20"/>
          <w:szCs w:val="20"/>
        </w:rPr>
        <w:t>п</w:t>
      </w:r>
      <w:r>
        <w:rPr>
          <w:sz w:val="20"/>
          <w:szCs w:val="20"/>
        </w:rPr>
        <w:t>ление и усвоение железа организмом.</w:t>
      </w:r>
    </w:p>
    <w:p w:rsidR="005368D6" w:rsidRPr="00526B1B" w:rsidRDefault="005368D6" w:rsidP="005368D6">
      <w:pPr>
        <w:jc w:val="center"/>
        <w:rPr>
          <w:sz w:val="16"/>
          <w:szCs w:val="16"/>
        </w:rPr>
      </w:pPr>
      <w:r w:rsidRPr="00526B1B">
        <w:rPr>
          <w:sz w:val="16"/>
          <w:szCs w:val="16"/>
        </w:rPr>
        <w:t>ЛИТЕРАТУРА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996342">
        <w:rPr>
          <w:sz w:val="16"/>
          <w:szCs w:val="16"/>
        </w:rPr>
        <w:t>Алтухов, Н. Пути профилактики желудочно-кишечных болезней поросят в п</w:t>
      </w:r>
      <w:r w:rsidRPr="00996342">
        <w:rPr>
          <w:sz w:val="16"/>
          <w:szCs w:val="16"/>
        </w:rPr>
        <w:t>е</w:t>
      </w:r>
      <w:r w:rsidRPr="00996342">
        <w:rPr>
          <w:sz w:val="16"/>
          <w:szCs w:val="16"/>
        </w:rPr>
        <w:t>риод их отъема / Н. Алтухов, Ю. Бригадиров, А. Шамардина // Свиноводство: науч</w:t>
      </w:r>
      <w:proofErr w:type="gramStart"/>
      <w:r w:rsidRPr="00996342">
        <w:rPr>
          <w:sz w:val="16"/>
          <w:szCs w:val="16"/>
        </w:rPr>
        <w:t>.-</w:t>
      </w:r>
      <w:proofErr w:type="gramEnd"/>
      <w:r w:rsidRPr="00996342">
        <w:rPr>
          <w:sz w:val="16"/>
          <w:szCs w:val="16"/>
        </w:rPr>
        <w:t>производ. журнал. – 2005. – № 6. – С. 21-22.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996342">
        <w:rPr>
          <w:sz w:val="16"/>
          <w:szCs w:val="16"/>
        </w:rPr>
        <w:t>Болезни сельскохозяйственных животных / П.А. Красочко [и др.]; науч. ред. П.А. Красочко. – Мн.: Бизнесофсет, 2005. – 800 с.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Воронов, Д.В. Влияние дисбактериоза кишечника на функционирование печени и показатели крови у поросят / Д.В. Воронов // Материалы конференции «Совреме</w:t>
      </w:r>
      <w:r w:rsidRPr="00317F9C">
        <w:rPr>
          <w:sz w:val="16"/>
          <w:szCs w:val="16"/>
        </w:rPr>
        <w:t>н</w:t>
      </w:r>
      <w:r w:rsidRPr="00317F9C">
        <w:rPr>
          <w:sz w:val="16"/>
          <w:szCs w:val="16"/>
        </w:rPr>
        <w:t>ные технологии сельскохозяйственного производства». XII Международная научно-практическая конференция. – Гродно, 2009. – Издательско-полиграфический отдел УО «ГГАУ». – С. 386-387.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Воронов, Д.В. Показатели функционирования тонкого кишечника поросят отъемн</w:t>
      </w:r>
      <w:r w:rsidRPr="00317F9C">
        <w:rPr>
          <w:sz w:val="16"/>
          <w:szCs w:val="16"/>
        </w:rPr>
        <w:t>о</w:t>
      </w:r>
      <w:r w:rsidRPr="00317F9C">
        <w:rPr>
          <w:sz w:val="16"/>
          <w:szCs w:val="16"/>
        </w:rPr>
        <w:t>го возраста / Д.В. Воронов // Сельское хозяйство – проблемы и перспективы: сб. науч. тр.: Т.2 / под ред. В.К. Пестиса. – Гродно: ГГАУ, 2008. – С. 40 – 47.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C9598B">
        <w:rPr>
          <w:sz w:val="16"/>
          <w:szCs w:val="16"/>
        </w:rPr>
        <w:t>Голбан, Д.М. Гастроэнтеропатии поросят: автореф. дисс. … докт. вет. наук: 16.00.01. – М</w:t>
      </w:r>
      <w:r w:rsidRPr="00C9598B">
        <w:rPr>
          <w:sz w:val="16"/>
          <w:szCs w:val="16"/>
        </w:rPr>
        <w:t>о</w:t>
      </w:r>
      <w:r w:rsidRPr="00C9598B">
        <w:rPr>
          <w:sz w:val="16"/>
          <w:szCs w:val="16"/>
        </w:rPr>
        <w:t xml:space="preserve">сква, 1985. 28 </w:t>
      </w:r>
      <w:proofErr w:type="gramStart"/>
      <w:r w:rsidRPr="00C9598B">
        <w:rPr>
          <w:sz w:val="16"/>
          <w:szCs w:val="16"/>
        </w:rPr>
        <w:t>с</w:t>
      </w:r>
      <w:proofErr w:type="gramEnd"/>
      <w:r w:rsidRPr="00C9598B">
        <w:rPr>
          <w:sz w:val="16"/>
          <w:szCs w:val="16"/>
        </w:rPr>
        <w:t>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C9598B">
        <w:rPr>
          <w:sz w:val="16"/>
          <w:szCs w:val="16"/>
        </w:rPr>
        <w:t>Дегтярева, И.И. Клиническая гастроэнтерология: Руководство для врачей / И.И. Дегтярева. – М.: Медицинское информационное агентство, 2004. – С.169-186.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Засинец, С.В. К вопросу патогенеза абомазоэнтерита у телят / С.В. Засинец // Вет</w:t>
      </w:r>
      <w:r w:rsidRPr="00317F9C">
        <w:rPr>
          <w:sz w:val="16"/>
          <w:szCs w:val="16"/>
        </w:rPr>
        <w:t>е</w:t>
      </w:r>
      <w:r w:rsidRPr="00317F9C">
        <w:rPr>
          <w:sz w:val="16"/>
          <w:szCs w:val="16"/>
        </w:rPr>
        <w:t>ринарная медицина Беларуси. – 2004. – №4. – С. 21-22.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Засинец, С.В. Некоторые гематологические показатели у здоровых и больных аб</w:t>
      </w:r>
      <w:r w:rsidRPr="00317F9C">
        <w:rPr>
          <w:sz w:val="16"/>
          <w:szCs w:val="16"/>
        </w:rPr>
        <w:t>о</w:t>
      </w:r>
      <w:r w:rsidRPr="00317F9C">
        <w:rPr>
          <w:sz w:val="16"/>
          <w:szCs w:val="16"/>
        </w:rPr>
        <w:t xml:space="preserve">мазоэнтеритом телят / С.В. Засинец // Исследования молодых ученых в решении проблем животноводства: Сборник статей II Международной научно-практической конференции </w:t>
      </w:r>
      <w:proofErr w:type="gramStart"/>
      <w:r w:rsidRPr="00317F9C">
        <w:rPr>
          <w:sz w:val="16"/>
          <w:szCs w:val="16"/>
        </w:rPr>
        <w:t>г</w:t>
      </w:r>
      <w:proofErr w:type="gramEnd"/>
      <w:r w:rsidRPr="00317F9C">
        <w:rPr>
          <w:sz w:val="16"/>
          <w:szCs w:val="16"/>
        </w:rPr>
        <w:t>. Витебск, 22 мая 2002 года; Гл. ред. А.И. Ятусевич. – Витебск: ВГАВМ, 2002. – С. 102-103.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996342">
        <w:rPr>
          <w:sz w:val="16"/>
          <w:szCs w:val="16"/>
        </w:rPr>
        <w:t>Карпуть, И.М. Диагностика и профилактика алиментарной анемии, гемолит</w:t>
      </w:r>
      <w:r w:rsidRPr="00996342">
        <w:rPr>
          <w:sz w:val="16"/>
          <w:szCs w:val="16"/>
        </w:rPr>
        <w:t>и</w:t>
      </w:r>
      <w:r w:rsidRPr="00996342">
        <w:rPr>
          <w:sz w:val="16"/>
          <w:szCs w:val="16"/>
        </w:rPr>
        <w:t>ческой болезни и иммунной недостаточности поросят: аналитический обзор / И.М. Карпуть, М.Г. Николадзе. – Минск: РУП «Белорусский научный институт внедр</w:t>
      </w:r>
      <w:r w:rsidRPr="00996342">
        <w:rPr>
          <w:sz w:val="16"/>
          <w:szCs w:val="16"/>
        </w:rPr>
        <w:t>е</w:t>
      </w:r>
      <w:r w:rsidRPr="00996342">
        <w:rPr>
          <w:sz w:val="16"/>
          <w:szCs w:val="16"/>
        </w:rPr>
        <w:t xml:space="preserve">ния новых форм хозяйствования в АПК», 2003. – 44 </w:t>
      </w:r>
      <w:proofErr w:type="gramStart"/>
      <w:r w:rsidRPr="00996342">
        <w:rPr>
          <w:sz w:val="16"/>
          <w:szCs w:val="16"/>
        </w:rPr>
        <w:t>с</w:t>
      </w:r>
      <w:proofErr w:type="gramEnd"/>
      <w:r w:rsidRPr="00996342">
        <w:rPr>
          <w:sz w:val="16"/>
          <w:szCs w:val="16"/>
        </w:rPr>
        <w:t>.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996342">
        <w:rPr>
          <w:sz w:val="16"/>
          <w:szCs w:val="16"/>
        </w:rPr>
        <w:t>Кассирский, И.А. Клиническая гематология / И.А. Кассирский, Г.А. Алекс</w:t>
      </w:r>
      <w:r w:rsidRPr="00996342">
        <w:rPr>
          <w:sz w:val="16"/>
          <w:szCs w:val="16"/>
        </w:rPr>
        <w:t>е</w:t>
      </w:r>
      <w:r w:rsidRPr="00996342">
        <w:rPr>
          <w:sz w:val="16"/>
          <w:szCs w:val="16"/>
        </w:rPr>
        <w:t xml:space="preserve">ев. – 4-е изд., испр. и доп. – Москва: Издательство «Медицина», 1970. – 800 </w:t>
      </w:r>
      <w:proofErr w:type="gramStart"/>
      <w:r w:rsidRPr="00996342">
        <w:rPr>
          <w:sz w:val="16"/>
          <w:szCs w:val="16"/>
        </w:rPr>
        <w:t>с</w:t>
      </w:r>
      <w:proofErr w:type="gramEnd"/>
      <w:r w:rsidRPr="00996342">
        <w:rPr>
          <w:sz w:val="16"/>
          <w:szCs w:val="16"/>
        </w:rPr>
        <w:t>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C9598B">
        <w:rPr>
          <w:sz w:val="16"/>
          <w:szCs w:val="16"/>
        </w:rPr>
        <w:t xml:space="preserve">Кондрахин, И.П. Некоторые итоги изучения внутренних болезней животных / И.П. Кондрахин // </w:t>
      </w:r>
      <w:proofErr w:type="gramStart"/>
      <w:r w:rsidRPr="00C9598B">
        <w:rPr>
          <w:sz w:val="16"/>
          <w:szCs w:val="16"/>
        </w:rPr>
        <w:t>В</w:t>
      </w:r>
      <w:proofErr w:type="gramEnd"/>
      <w:r w:rsidRPr="00C9598B">
        <w:rPr>
          <w:sz w:val="16"/>
          <w:szCs w:val="16"/>
        </w:rPr>
        <w:t xml:space="preserve">існик Білоцерківского державного аграрного університету. – </w:t>
      </w:r>
      <w:proofErr w:type="gramStart"/>
      <w:r w:rsidRPr="00C9598B">
        <w:rPr>
          <w:sz w:val="16"/>
          <w:szCs w:val="16"/>
        </w:rPr>
        <w:t>Б</w:t>
      </w:r>
      <w:proofErr w:type="gramEnd"/>
      <w:r w:rsidRPr="00C9598B">
        <w:rPr>
          <w:sz w:val="16"/>
          <w:szCs w:val="16"/>
        </w:rPr>
        <w:t>іла Цер</w:t>
      </w:r>
      <w:r w:rsidRPr="00C9598B">
        <w:rPr>
          <w:sz w:val="16"/>
          <w:szCs w:val="16"/>
        </w:rPr>
        <w:t>к</w:t>
      </w:r>
      <w:r w:rsidRPr="00C9598B">
        <w:rPr>
          <w:sz w:val="16"/>
          <w:szCs w:val="16"/>
        </w:rPr>
        <w:t>ва.– 1998. – Вип. 5. – Ч.1. – С. 10-15.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Курдеко, А.П. Совершенствование способов лечения свиней при болезнях о</w:t>
      </w:r>
      <w:r w:rsidRPr="00317F9C">
        <w:rPr>
          <w:sz w:val="16"/>
          <w:szCs w:val="16"/>
        </w:rPr>
        <w:t>р</w:t>
      </w:r>
      <w:r w:rsidRPr="00317F9C">
        <w:rPr>
          <w:sz w:val="16"/>
          <w:szCs w:val="16"/>
        </w:rPr>
        <w:t>ганов пищеварения в условиях промышленной технологии / А.П. Курдеко, В.А. Теле</w:t>
      </w:r>
      <w:r w:rsidRPr="00317F9C">
        <w:rPr>
          <w:sz w:val="16"/>
          <w:szCs w:val="16"/>
        </w:rPr>
        <w:t>п</w:t>
      </w:r>
      <w:r w:rsidRPr="00317F9C">
        <w:rPr>
          <w:sz w:val="16"/>
          <w:szCs w:val="16"/>
        </w:rPr>
        <w:t>нев, А.В. Сенько // Проблемы научно-инновационного развития Витебской области и пути их решения: Сб. докладов науч</w:t>
      </w:r>
      <w:proofErr w:type="gramStart"/>
      <w:r w:rsidRPr="00317F9C">
        <w:rPr>
          <w:sz w:val="16"/>
          <w:szCs w:val="16"/>
        </w:rPr>
        <w:t>.-</w:t>
      </w:r>
      <w:proofErr w:type="gramEnd"/>
      <w:r w:rsidRPr="00317F9C">
        <w:rPr>
          <w:sz w:val="16"/>
          <w:szCs w:val="16"/>
        </w:rPr>
        <w:t>практ. конференции. – Витебск: ВГАВМ, 1999. – С. 142-144.</w:t>
      </w:r>
      <w:r w:rsidRPr="007E4AEA">
        <w:rPr>
          <w:sz w:val="16"/>
          <w:szCs w:val="16"/>
        </w:rPr>
        <w:t xml:space="preserve"> </w:t>
      </w:r>
    </w:p>
    <w:p w:rsidR="005368D6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Сенько, А.В. Влияние дисбактериоза тонкого отдела кишечника на усвоение пит</w:t>
      </w:r>
      <w:r w:rsidRPr="00317F9C">
        <w:rPr>
          <w:sz w:val="16"/>
          <w:szCs w:val="16"/>
        </w:rPr>
        <w:t>а</w:t>
      </w:r>
      <w:r w:rsidRPr="00317F9C">
        <w:rPr>
          <w:sz w:val="16"/>
          <w:szCs w:val="16"/>
        </w:rPr>
        <w:t>тельных веществ корма и функциональное состояние печени поросят / А.В. Сенько, Д.В. Воронов // Сельское хозяйство – проблемы и перспективы: сб. науч. тр.: Т.2 / под ред. В.К. Пестиса. – Гродно: ГГАУ, 2009. – С. 61 – 69.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317F9C">
        <w:rPr>
          <w:sz w:val="16"/>
          <w:szCs w:val="16"/>
        </w:rPr>
        <w:t>Сенько, А.В. Показатели крови и уровень микроэлементов в печени поросят отъе</w:t>
      </w:r>
      <w:r w:rsidRPr="00317F9C">
        <w:rPr>
          <w:sz w:val="16"/>
          <w:szCs w:val="16"/>
        </w:rPr>
        <w:t>м</w:t>
      </w:r>
      <w:r w:rsidRPr="00317F9C">
        <w:rPr>
          <w:sz w:val="16"/>
          <w:szCs w:val="16"/>
        </w:rPr>
        <w:t xml:space="preserve">ного возраста при </w:t>
      </w:r>
      <w:proofErr w:type="gramStart"/>
      <w:r w:rsidRPr="00317F9C">
        <w:rPr>
          <w:sz w:val="16"/>
          <w:szCs w:val="16"/>
        </w:rPr>
        <w:t>экспериментальном</w:t>
      </w:r>
      <w:proofErr w:type="gramEnd"/>
      <w:r w:rsidRPr="00317F9C">
        <w:rPr>
          <w:sz w:val="16"/>
          <w:szCs w:val="16"/>
        </w:rPr>
        <w:t xml:space="preserve"> дисбактериозе тонкого кишечника / А.В. Сенько, Д.В. Воронов // Молодежь и инновации – 2009: Материалы междунаро</w:t>
      </w:r>
      <w:r w:rsidRPr="00317F9C">
        <w:rPr>
          <w:sz w:val="16"/>
          <w:szCs w:val="16"/>
        </w:rPr>
        <w:t>д</w:t>
      </w:r>
      <w:r w:rsidRPr="00317F9C">
        <w:rPr>
          <w:sz w:val="16"/>
          <w:szCs w:val="16"/>
        </w:rPr>
        <w:t>ной научно-практической конференции молодых ученых. В 2-х томах / Гл. ред. А.П. Курдеко. – Го</w:t>
      </w:r>
      <w:r w:rsidRPr="00317F9C">
        <w:rPr>
          <w:sz w:val="16"/>
          <w:szCs w:val="16"/>
        </w:rPr>
        <w:t>р</w:t>
      </w:r>
      <w:r w:rsidRPr="00317F9C">
        <w:rPr>
          <w:sz w:val="16"/>
          <w:szCs w:val="16"/>
        </w:rPr>
        <w:t>ки: Белорусская государственная сельскохозяйственная ак</w:t>
      </w:r>
      <w:r w:rsidRPr="00317F9C">
        <w:rPr>
          <w:sz w:val="16"/>
          <w:szCs w:val="16"/>
        </w:rPr>
        <w:t>а</w:t>
      </w:r>
      <w:r w:rsidRPr="00317F9C">
        <w:rPr>
          <w:sz w:val="16"/>
          <w:szCs w:val="16"/>
        </w:rPr>
        <w:t>демия, 2009. – Ч. 1. – С. 141-144.</w:t>
      </w:r>
    </w:p>
    <w:p w:rsidR="005368D6" w:rsidRPr="00996342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996342">
        <w:rPr>
          <w:sz w:val="16"/>
          <w:szCs w:val="16"/>
        </w:rPr>
        <w:t>Сороколетова, В.М. Состояние желудочного пищеварения у поросят в норме и при использовании медикаментозных средств: автореф. дис. … канд. биол. наук: 03.00.13 / В.М. Сороколетова; Новосиб. гос. аграр. ун-т – Новосибирск, 2004. – 18</w:t>
      </w:r>
      <w:r>
        <w:rPr>
          <w:sz w:val="16"/>
          <w:szCs w:val="16"/>
        </w:rPr>
        <w:t xml:space="preserve"> </w:t>
      </w:r>
      <w:proofErr w:type="gramStart"/>
      <w:r w:rsidRPr="00996342">
        <w:rPr>
          <w:sz w:val="16"/>
          <w:szCs w:val="16"/>
        </w:rPr>
        <w:t>с</w:t>
      </w:r>
      <w:proofErr w:type="gramEnd"/>
      <w:r w:rsidRPr="00996342">
        <w:rPr>
          <w:sz w:val="16"/>
          <w:szCs w:val="16"/>
        </w:rPr>
        <w:t>.</w:t>
      </w:r>
    </w:p>
    <w:p w:rsidR="005368D6" w:rsidRPr="00317F9C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Щедрунов, В.В. Функции желудка при дефиците железа в организме / В.В. Щедр</w:t>
      </w:r>
      <w:r>
        <w:rPr>
          <w:sz w:val="16"/>
          <w:szCs w:val="16"/>
        </w:rPr>
        <w:t>у</w:t>
      </w:r>
      <w:r>
        <w:rPr>
          <w:sz w:val="16"/>
          <w:szCs w:val="16"/>
        </w:rPr>
        <w:t xml:space="preserve">нов, В.Н. Петров, И.М. Журавская. – Л.: Наука, 1989 – 128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.</w:t>
      </w:r>
    </w:p>
    <w:p w:rsidR="005368D6" w:rsidRPr="007E4AEA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  <w:lang w:val="en-US"/>
        </w:rPr>
      </w:pPr>
      <w:r w:rsidRPr="007E4AEA">
        <w:rPr>
          <w:sz w:val="16"/>
          <w:szCs w:val="16"/>
          <w:lang w:val="en-US"/>
        </w:rPr>
        <w:t>Effect of supplemental iron on finishing swine performance, carcass characteri</w:t>
      </w:r>
      <w:r w:rsidRPr="007E4AEA">
        <w:rPr>
          <w:sz w:val="16"/>
          <w:szCs w:val="16"/>
          <w:lang w:val="en-US"/>
        </w:rPr>
        <w:t>s</w:t>
      </w:r>
      <w:r w:rsidRPr="007E4AEA">
        <w:rPr>
          <w:sz w:val="16"/>
          <w:szCs w:val="16"/>
          <w:lang w:val="en-US"/>
        </w:rPr>
        <w:t xml:space="preserve">tics, and pork quality during retail display / J.K. Apple [et al.] // Journal of Animal Science. – 2007. – № 85. – P. 737-745. </w:t>
      </w:r>
    </w:p>
    <w:p w:rsidR="005368D6" w:rsidRPr="007E4AEA" w:rsidRDefault="005368D6" w:rsidP="005368D6">
      <w:pPr>
        <w:numPr>
          <w:ilvl w:val="0"/>
          <w:numId w:val="6"/>
        </w:numPr>
        <w:tabs>
          <w:tab w:val="clear" w:pos="540"/>
          <w:tab w:val="num" w:pos="0"/>
          <w:tab w:val="left" w:pos="360"/>
        </w:tabs>
        <w:ind w:left="0" w:firstLine="0"/>
        <w:jc w:val="both"/>
        <w:rPr>
          <w:sz w:val="16"/>
          <w:szCs w:val="16"/>
          <w:lang w:val="en-US"/>
        </w:rPr>
      </w:pPr>
      <w:r w:rsidRPr="007E4AEA">
        <w:rPr>
          <w:sz w:val="16"/>
          <w:szCs w:val="16"/>
          <w:lang w:val="en-US"/>
        </w:rPr>
        <w:t>Szabo, P. Iron deficiency in outdoor pig production / P. Szabo, G. Bilkei // Journal Vet</w:t>
      </w:r>
      <w:r w:rsidRPr="007E4AEA">
        <w:rPr>
          <w:sz w:val="16"/>
          <w:szCs w:val="16"/>
          <w:lang w:val="en-US"/>
        </w:rPr>
        <w:t>e</w:t>
      </w:r>
      <w:r w:rsidRPr="007E4AEA">
        <w:rPr>
          <w:sz w:val="16"/>
          <w:szCs w:val="16"/>
          <w:lang w:val="en-US"/>
        </w:rPr>
        <w:t>rinary Medicine and Physiology, Pathology Clinical Medicine. – 2002. – Sept., Vol. 49 – №7. – P. 390-391.</w:t>
      </w:r>
    </w:p>
    <w:p w:rsidR="005368D6" w:rsidRDefault="005368D6" w:rsidP="005368D6">
      <w:pPr>
        <w:rPr>
          <w:sz w:val="20"/>
          <w:lang w:val="en-US"/>
        </w:rPr>
      </w:pPr>
    </w:p>
    <w:p w:rsidR="0068764B" w:rsidRPr="005368D6" w:rsidRDefault="0068764B" w:rsidP="00047EC7">
      <w:pPr>
        <w:rPr>
          <w:lang w:val="en-US"/>
        </w:rPr>
      </w:pPr>
    </w:p>
    <w:sectPr w:rsidR="0068764B" w:rsidRPr="005368D6" w:rsidSect="00510F89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CA543D"/>
    <w:multiLevelType w:val="hybridMultilevel"/>
    <w:tmpl w:val="BEF2D27C"/>
    <w:lvl w:ilvl="0" w:tplc="4842A0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A71E5"/>
    <w:multiLevelType w:val="hybridMultilevel"/>
    <w:tmpl w:val="14C2A6EA"/>
    <w:lvl w:ilvl="0" w:tplc="B43CF316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0F89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68D6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597F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6D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465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757A0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3268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17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3EB5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0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0F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0F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ody Text"/>
    <w:basedOn w:val="a"/>
    <w:link w:val="ad"/>
    <w:rsid w:val="00510F89"/>
    <w:pPr>
      <w:spacing w:after="120"/>
    </w:pPr>
  </w:style>
  <w:style w:type="character" w:customStyle="1" w:styleId="ad">
    <w:name w:val="Основной текст Знак"/>
    <w:basedOn w:val="a0"/>
    <w:link w:val="ac"/>
    <w:rsid w:val="0051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510F8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510F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510F8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2057</Words>
  <Characters>11725</Characters>
  <Application>Microsoft Office Word</Application>
  <DocSecurity>0</DocSecurity>
  <Lines>97</Lines>
  <Paragraphs>27</Paragraphs>
  <ScaleCrop>false</ScaleCrop>
  <Company>Microsoft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2013-03-14T13:16:00Z</dcterms:created>
  <dcterms:modified xsi:type="dcterms:W3CDTF">2013-03-14T13:16:00Z</dcterms:modified>
</cp:coreProperties>
</file>